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2D4B2" w14:textId="419BEE2E" w:rsidR="00B661FF" w:rsidRDefault="00B661FF" w:rsidP="00B661FF">
      <w:r>
        <w:rPr>
          <w:noProof/>
          <w:lang w:eastAsia="en-NZ"/>
        </w:rPr>
        <mc:AlternateContent>
          <mc:Choice Requires="wpg">
            <w:drawing>
              <wp:anchor distT="0" distB="0" distL="114300" distR="114300" simplePos="0" relativeHeight="251660288" behindDoc="0" locked="0" layoutInCell="1" allowOverlap="1" wp14:anchorId="63FD9093" wp14:editId="7035784D">
                <wp:simplePos x="0" y="0"/>
                <wp:positionH relativeFrom="column">
                  <wp:posOffset>-183515</wp:posOffset>
                </wp:positionH>
                <wp:positionV relativeFrom="paragraph">
                  <wp:posOffset>-478155</wp:posOffset>
                </wp:positionV>
                <wp:extent cx="3435350" cy="662940"/>
                <wp:effectExtent l="0" t="0" r="0" b="381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0" cy="662940"/>
                          <a:chOff x="0" y="0"/>
                          <a:chExt cx="3435350" cy="662940"/>
                        </a:xfrm>
                      </wpg:grpSpPr>
                      <wps:wsp>
                        <wps:cNvPr id="3"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4CF7C2" w14:textId="77777777" w:rsidR="006A3560" w:rsidRPr="00BB58D5" w:rsidRDefault="006A3560" w:rsidP="00B661FF">
                              <w:pPr>
                                <w:spacing w:line="320" w:lineRule="exact"/>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50" y="44450"/>
                            <a:ext cx="29845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1465EF" w14:textId="77777777" w:rsidR="006A3560" w:rsidRPr="00BB58D5" w:rsidRDefault="006A3560" w:rsidP="00B661FF">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seed shareholders’ agreement</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45" cy="658495"/>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3FD9093" id="Group 4" o:spid="_x0000_s1026" style="position:absolute;margin-left:-14.45pt;margin-top:-37.65pt;width:270.5pt;height:52.2pt;z-index:251660288" coordsize="34353,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0B4CF7C2" w14:textId="77777777" w:rsidR="006A3560" w:rsidRPr="00BB58D5" w:rsidRDefault="006A3560" w:rsidP="00B661FF">
                        <w:pPr>
                          <w:spacing w:line="320" w:lineRule="exact"/>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29845;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271465EF" w14:textId="77777777" w:rsidR="006A3560" w:rsidRPr="00BB58D5" w:rsidRDefault="006A3560" w:rsidP="00B661FF">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seed shareholders’ agreement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r>
        <w:rPr>
          <w:noProof/>
          <w:lang w:eastAsia="en-NZ"/>
        </w:rPr>
        <mc:AlternateContent>
          <mc:Choice Requires="wps">
            <w:drawing>
              <wp:anchor distT="0" distB="0" distL="114300" distR="114300" simplePos="0" relativeHeight="251659264" behindDoc="0" locked="0" layoutInCell="1" allowOverlap="1" wp14:anchorId="4AEC996B" wp14:editId="71C67336">
                <wp:simplePos x="0" y="0"/>
                <wp:positionH relativeFrom="column">
                  <wp:posOffset>2594193</wp:posOffset>
                </wp:positionH>
                <wp:positionV relativeFrom="paragraph">
                  <wp:posOffset>325642</wp:posOffset>
                </wp:positionV>
                <wp:extent cx="0" cy="7267432"/>
                <wp:effectExtent l="0" t="0" r="1905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67432"/>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080A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25.65pt" to="204.25pt,5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" strokecolor="#c00000">
                <v:stroke opacity="29555f"/>
              </v:line>
            </w:pict>
          </mc:Fallback>
        </mc:AlternateContent>
      </w:r>
    </w:p>
    <w:p w14:paraId="568694C4" w14:textId="77777777" w:rsidR="00B661FF" w:rsidRDefault="00B661FF" w:rsidP="00B661FF">
      <w:pPr>
        <w:spacing w:before="200" w:after="160" w:line="240" w:lineRule="exact"/>
        <w:ind w:left="142"/>
        <w:rPr>
          <w:rFonts w:cs="Arial"/>
          <w:color w:val="C00000"/>
          <w:sz w:val="18"/>
          <w:szCs w:val="18"/>
        </w:rPr>
        <w:sectPr w:rsidR="00B661FF" w:rsidSect="00B370AD">
          <w:footerReference w:type="first" r:id="rId11"/>
          <w:pgSz w:w="11907" w:h="16840" w:code="9"/>
          <w:pgMar w:top="1843" w:right="1559" w:bottom="1440" w:left="2126" w:header="709" w:footer="709" w:gutter="0"/>
          <w:cols w:space="708"/>
          <w:titlePg/>
          <w:docGrid w:linePitch="360"/>
        </w:sectPr>
      </w:pPr>
    </w:p>
    <w:p w14:paraId="040616D2" w14:textId="59D8AC11" w:rsidR="00B661FF" w:rsidRDefault="00B661FF" w:rsidP="00B661FF">
      <w:pPr>
        <w:spacing w:before="200" w:after="160" w:line="240" w:lineRule="exact"/>
        <w:ind w:left="142"/>
        <w:rPr>
          <w:rFonts w:cs="Arial"/>
          <w:sz w:val="18"/>
          <w:szCs w:val="18"/>
        </w:rPr>
      </w:pPr>
      <w:r>
        <w:rPr>
          <w:rFonts w:cs="Arial"/>
          <w:sz w:val="18"/>
          <w:szCs w:val="18"/>
        </w:rPr>
        <w:t>This is a simple shar</w:t>
      </w:r>
      <w:r w:rsidR="006968F0">
        <w:rPr>
          <w:rFonts w:cs="Arial"/>
          <w:sz w:val="18"/>
          <w:szCs w:val="18"/>
        </w:rPr>
        <w:t xml:space="preserve">eholders’ agreement intended to be implemented </w:t>
      </w:r>
      <w:r>
        <w:rPr>
          <w:rFonts w:cs="Arial"/>
          <w:sz w:val="18"/>
          <w:szCs w:val="18"/>
        </w:rPr>
        <w:t xml:space="preserve">by </w:t>
      </w:r>
      <w:r w:rsidR="00006B08">
        <w:rPr>
          <w:rFonts w:cs="Arial"/>
          <w:sz w:val="18"/>
          <w:szCs w:val="18"/>
        </w:rPr>
        <w:t>a start-up</w:t>
      </w:r>
      <w:r w:rsidR="00371F94">
        <w:rPr>
          <w:rFonts w:cs="Arial"/>
          <w:sz w:val="18"/>
          <w:szCs w:val="18"/>
        </w:rPr>
        <w:t xml:space="preserve"> at the time </w:t>
      </w:r>
      <w:r w:rsidR="00006B08">
        <w:rPr>
          <w:rFonts w:cs="Arial"/>
          <w:sz w:val="18"/>
          <w:szCs w:val="18"/>
        </w:rPr>
        <w:t>it</w:t>
      </w:r>
      <w:r w:rsidR="00371F94">
        <w:rPr>
          <w:rFonts w:cs="Arial"/>
          <w:sz w:val="18"/>
          <w:szCs w:val="18"/>
        </w:rPr>
        <w:t xml:space="preserve"> close</w:t>
      </w:r>
      <w:r w:rsidR="00006B08">
        <w:rPr>
          <w:rFonts w:cs="Arial"/>
          <w:sz w:val="18"/>
          <w:szCs w:val="18"/>
        </w:rPr>
        <w:t>s</w:t>
      </w:r>
      <w:r w:rsidR="00371F94">
        <w:rPr>
          <w:rFonts w:cs="Arial"/>
          <w:sz w:val="18"/>
          <w:szCs w:val="18"/>
        </w:rPr>
        <w:t xml:space="preserve"> a seed investment round</w:t>
      </w:r>
      <w:r w:rsidR="0004427D">
        <w:rPr>
          <w:rFonts w:cs="Arial"/>
          <w:sz w:val="18"/>
          <w:szCs w:val="18"/>
        </w:rPr>
        <w:t xml:space="preserve"> in </w:t>
      </w:r>
      <w:r w:rsidR="00FD374E">
        <w:rPr>
          <w:rFonts w:cs="Arial"/>
          <w:sz w:val="18"/>
          <w:szCs w:val="18"/>
        </w:rPr>
        <w:t>Southeast</w:t>
      </w:r>
      <w:r w:rsidR="0004427D">
        <w:rPr>
          <w:rFonts w:cs="Arial"/>
          <w:sz w:val="18"/>
          <w:szCs w:val="18"/>
        </w:rPr>
        <w:t xml:space="preserve"> Asia</w:t>
      </w:r>
      <w:r>
        <w:rPr>
          <w:rFonts w:cs="Arial"/>
          <w:sz w:val="18"/>
          <w:szCs w:val="18"/>
        </w:rPr>
        <w:t>.</w:t>
      </w:r>
    </w:p>
    <w:p w14:paraId="78A6342D" w14:textId="32EEE5EB" w:rsidR="00B661FF" w:rsidRPr="009726F7" w:rsidRDefault="00B661FF" w:rsidP="00B661FF">
      <w:pPr>
        <w:spacing w:before="200" w:after="160" w:line="240" w:lineRule="exact"/>
        <w:ind w:left="142"/>
        <w:rPr>
          <w:rFonts w:cs="Arial"/>
          <w:sz w:val="18"/>
          <w:szCs w:val="18"/>
        </w:rPr>
      </w:pPr>
      <w:r w:rsidRPr="00E63C16">
        <w:rPr>
          <w:rFonts w:cs="Arial"/>
          <w:sz w:val="18"/>
          <w:szCs w:val="18"/>
        </w:rPr>
        <w:t xml:space="preserve">This </w:t>
      </w:r>
      <w:r>
        <w:rPr>
          <w:rFonts w:cs="Arial"/>
          <w:sz w:val="18"/>
          <w:szCs w:val="18"/>
        </w:rPr>
        <w:t>agreement</w:t>
      </w:r>
      <w:r w:rsidRPr="00E63C16">
        <w:rPr>
          <w:rFonts w:cs="Arial"/>
          <w:sz w:val="18"/>
          <w:szCs w:val="18"/>
        </w:rPr>
        <w:t xml:space="preserve"> </w:t>
      </w:r>
      <w:r w:rsidR="00FA34ED">
        <w:rPr>
          <w:rFonts w:cs="Arial"/>
          <w:sz w:val="18"/>
          <w:szCs w:val="18"/>
        </w:rPr>
        <w:t xml:space="preserve">deals with </w:t>
      </w:r>
      <w:r w:rsidRPr="00E63C16">
        <w:rPr>
          <w:rFonts w:cs="Arial"/>
          <w:sz w:val="18"/>
          <w:szCs w:val="18"/>
        </w:rPr>
        <w:t xml:space="preserve">the management of the </w:t>
      </w:r>
      <w:r w:rsidR="00006B08">
        <w:rPr>
          <w:rFonts w:cs="Arial"/>
          <w:sz w:val="18"/>
          <w:szCs w:val="18"/>
        </w:rPr>
        <w:t>start-up</w:t>
      </w:r>
      <w:r w:rsidRPr="00E63C16">
        <w:rPr>
          <w:rFonts w:cs="Arial"/>
          <w:sz w:val="18"/>
          <w:szCs w:val="18"/>
        </w:rPr>
        <w:t xml:space="preserve"> and the relationship between the </w:t>
      </w:r>
      <w:r w:rsidR="006968F0">
        <w:rPr>
          <w:rFonts w:cs="Arial"/>
          <w:sz w:val="18"/>
          <w:szCs w:val="18"/>
        </w:rPr>
        <w:t xml:space="preserve">founders, any other existing </w:t>
      </w:r>
      <w:r w:rsidRPr="00E63C16">
        <w:rPr>
          <w:rFonts w:cs="Arial"/>
          <w:sz w:val="18"/>
          <w:szCs w:val="18"/>
        </w:rPr>
        <w:t xml:space="preserve">shareholders </w:t>
      </w:r>
      <w:r w:rsidR="006968F0">
        <w:rPr>
          <w:rFonts w:cs="Arial"/>
          <w:sz w:val="18"/>
          <w:szCs w:val="18"/>
        </w:rPr>
        <w:t xml:space="preserve">and the investors </w:t>
      </w:r>
      <w:r w:rsidRPr="00E63C16">
        <w:rPr>
          <w:rFonts w:cs="Arial"/>
          <w:sz w:val="18"/>
          <w:szCs w:val="18"/>
        </w:rPr>
        <w:t>(e.g. rights to appoint directors</w:t>
      </w:r>
      <w:r>
        <w:rPr>
          <w:rFonts w:cs="Arial"/>
          <w:sz w:val="18"/>
          <w:szCs w:val="18"/>
        </w:rPr>
        <w:t>,</w:t>
      </w:r>
      <w:r w:rsidRPr="00E63C16">
        <w:rPr>
          <w:rFonts w:cs="Arial"/>
          <w:sz w:val="18"/>
          <w:szCs w:val="18"/>
        </w:rPr>
        <w:t xml:space="preserve"> matters requiring the approval of </w:t>
      </w:r>
      <w:r>
        <w:rPr>
          <w:rFonts w:cs="Arial"/>
          <w:sz w:val="18"/>
          <w:szCs w:val="18"/>
        </w:rPr>
        <w:t xml:space="preserve">any </w:t>
      </w:r>
      <w:r w:rsidRPr="00E63C16">
        <w:rPr>
          <w:rFonts w:cs="Arial"/>
          <w:sz w:val="18"/>
          <w:szCs w:val="18"/>
        </w:rPr>
        <w:t xml:space="preserve">investor-appointed directors, the provision of financial information, confidentiality provisions, etc).  </w:t>
      </w:r>
      <w:bookmarkStart w:id="0" w:name="_Hlk504644082"/>
      <w:r w:rsidR="00B80FB0">
        <w:rPr>
          <w:rFonts w:cs="Arial"/>
          <w:sz w:val="18"/>
          <w:szCs w:val="18"/>
        </w:rPr>
        <w:t>This</w:t>
      </w:r>
      <w:r w:rsidRPr="00E63C16">
        <w:rPr>
          <w:rFonts w:cs="Arial"/>
          <w:sz w:val="18"/>
          <w:szCs w:val="18"/>
        </w:rPr>
        <w:t xml:space="preserve"> shareholders’ agreement </w:t>
      </w:r>
      <w:r w:rsidR="00B80FB0">
        <w:rPr>
          <w:rFonts w:cs="Arial"/>
          <w:sz w:val="18"/>
          <w:szCs w:val="18"/>
        </w:rPr>
        <w:t>includes</w:t>
      </w:r>
      <w:r w:rsidR="006968F0">
        <w:rPr>
          <w:rFonts w:cs="Arial"/>
          <w:sz w:val="18"/>
          <w:szCs w:val="18"/>
        </w:rPr>
        <w:t xml:space="preserve"> certain items which </w:t>
      </w:r>
      <w:r w:rsidR="00D86C1D">
        <w:rPr>
          <w:rFonts w:cs="Arial"/>
          <w:sz w:val="18"/>
          <w:szCs w:val="18"/>
        </w:rPr>
        <w:t>are generally</w:t>
      </w:r>
      <w:r w:rsidR="00B80FB0">
        <w:rPr>
          <w:rFonts w:cs="Arial"/>
          <w:sz w:val="18"/>
          <w:szCs w:val="18"/>
        </w:rPr>
        <w:t xml:space="preserve"> replicated in </w:t>
      </w:r>
      <w:r w:rsidR="006968F0">
        <w:rPr>
          <w:rFonts w:cs="Arial"/>
          <w:sz w:val="18"/>
          <w:szCs w:val="18"/>
        </w:rPr>
        <w:t xml:space="preserve">the constitution </w:t>
      </w:r>
      <w:r w:rsidR="00FA34ED">
        <w:rPr>
          <w:rFonts w:cs="Arial"/>
          <w:sz w:val="18"/>
          <w:szCs w:val="18"/>
        </w:rPr>
        <w:t xml:space="preserve">of the company </w:t>
      </w:r>
      <w:r w:rsidR="00A019A6">
        <w:rPr>
          <w:rFonts w:cs="Arial"/>
          <w:sz w:val="18"/>
          <w:szCs w:val="18"/>
        </w:rPr>
        <w:t>(e.g.</w:t>
      </w:r>
      <w:r w:rsidR="004A2573">
        <w:rPr>
          <w:rFonts w:cs="Arial"/>
          <w:sz w:val="18"/>
          <w:szCs w:val="18"/>
        </w:rPr>
        <w:t xml:space="preserve"> board appointment rights,</w:t>
      </w:r>
      <w:r w:rsidR="00A019A6">
        <w:rPr>
          <w:rFonts w:cs="Arial"/>
          <w:sz w:val="18"/>
          <w:szCs w:val="18"/>
        </w:rPr>
        <w:t xml:space="preserve"> pre-emptive rights, co-sale</w:t>
      </w:r>
      <w:r w:rsidR="006968F0" w:rsidRPr="00E63C16">
        <w:rPr>
          <w:rFonts w:cs="Arial"/>
          <w:sz w:val="18"/>
          <w:szCs w:val="18"/>
        </w:rPr>
        <w:t xml:space="preserve"> and drag-along rights)</w:t>
      </w:r>
      <w:r w:rsidR="006968F0" w:rsidRPr="009726F7">
        <w:rPr>
          <w:rFonts w:cs="Arial"/>
          <w:sz w:val="18"/>
          <w:szCs w:val="18"/>
        </w:rPr>
        <w:t xml:space="preserve">.  </w:t>
      </w:r>
      <w:r w:rsidR="004A2573">
        <w:rPr>
          <w:rFonts w:cs="Arial"/>
          <w:sz w:val="18"/>
          <w:szCs w:val="18"/>
        </w:rPr>
        <w:t>Updating the</w:t>
      </w:r>
      <w:r w:rsidR="00B80FB0">
        <w:rPr>
          <w:rFonts w:cs="Arial"/>
          <w:sz w:val="18"/>
          <w:szCs w:val="18"/>
        </w:rPr>
        <w:t xml:space="preserve"> constitution </w:t>
      </w:r>
      <w:r w:rsidR="009D1C80">
        <w:rPr>
          <w:rFonts w:cs="Arial"/>
          <w:sz w:val="18"/>
          <w:szCs w:val="18"/>
        </w:rPr>
        <w:t>should be</w:t>
      </w:r>
      <w:r w:rsidR="00B80FB0">
        <w:rPr>
          <w:rFonts w:cs="Arial"/>
          <w:sz w:val="18"/>
          <w:szCs w:val="18"/>
        </w:rPr>
        <w:t xml:space="preserve"> a relatively simple task as</w:t>
      </w:r>
      <w:r w:rsidR="004A2573">
        <w:rPr>
          <w:rFonts w:cs="Arial"/>
          <w:sz w:val="18"/>
          <w:szCs w:val="18"/>
        </w:rPr>
        <w:t xml:space="preserve"> the relevant</w:t>
      </w:r>
      <w:r w:rsidR="00B80FB0">
        <w:rPr>
          <w:rFonts w:cs="Arial"/>
          <w:sz w:val="18"/>
          <w:szCs w:val="18"/>
        </w:rPr>
        <w:t xml:space="preserve"> provisions can be copied from the shareholders’ agreement</w:t>
      </w:r>
      <w:bookmarkEnd w:id="0"/>
      <w:r w:rsidR="004A2573">
        <w:rPr>
          <w:rFonts w:cs="Arial"/>
          <w:sz w:val="18"/>
          <w:szCs w:val="18"/>
        </w:rPr>
        <w:t xml:space="preserve"> with minimal changes in most cases</w:t>
      </w:r>
      <w:r w:rsidR="006968F0">
        <w:rPr>
          <w:rFonts w:cs="Arial"/>
          <w:sz w:val="18"/>
          <w:szCs w:val="18"/>
        </w:rPr>
        <w:t>.</w:t>
      </w:r>
    </w:p>
    <w:p w14:paraId="1B2CA3E7" w14:textId="77777777" w:rsidR="00B661FF" w:rsidRDefault="00B661FF" w:rsidP="00B661FF">
      <w:pPr>
        <w:spacing w:before="200" w:after="160" w:line="240" w:lineRule="exact"/>
        <w:ind w:left="142"/>
        <w:rPr>
          <w:rFonts w:cs="Arial"/>
          <w:sz w:val="18"/>
          <w:szCs w:val="18"/>
        </w:rPr>
      </w:pPr>
      <w:r>
        <w:rPr>
          <w:rFonts w:cs="Arial"/>
          <w:sz w:val="18"/>
          <w:szCs w:val="18"/>
        </w:rPr>
        <w:t>This agreement</w:t>
      </w:r>
      <w:r w:rsidRPr="00E63C16">
        <w:rPr>
          <w:rFonts w:cs="Arial"/>
          <w:sz w:val="18"/>
          <w:szCs w:val="18"/>
        </w:rPr>
        <w:t xml:space="preserve"> </w:t>
      </w:r>
      <w:r>
        <w:rPr>
          <w:rFonts w:cs="Arial"/>
          <w:sz w:val="18"/>
          <w:szCs w:val="18"/>
        </w:rPr>
        <w:t xml:space="preserve">is </w:t>
      </w:r>
      <w:r w:rsidRPr="00E63C16">
        <w:rPr>
          <w:rFonts w:cs="Arial"/>
          <w:sz w:val="18"/>
          <w:szCs w:val="18"/>
        </w:rPr>
        <w:t>not intended for use by services companies</w:t>
      </w:r>
      <w:r>
        <w:rPr>
          <w:rFonts w:cs="Arial"/>
          <w:sz w:val="18"/>
          <w:szCs w:val="18"/>
        </w:rPr>
        <w:t xml:space="preserve"> where shareholders work in the business </w:t>
      </w:r>
      <w:r w:rsidR="00D145D3">
        <w:rPr>
          <w:rFonts w:cs="Arial"/>
          <w:sz w:val="18"/>
          <w:szCs w:val="18"/>
        </w:rPr>
        <w:t xml:space="preserve">and </w:t>
      </w:r>
      <w:r>
        <w:rPr>
          <w:rFonts w:cs="Arial"/>
          <w:sz w:val="18"/>
          <w:szCs w:val="18"/>
        </w:rPr>
        <w:t>the focus is on returning regular income to those shareholder</w:t>
      </w:r>
      <w:r w:rsidR="005F0A6D">
        <w:rPr>
          <w:rFonts w:cs="Arial"/>
          <w:sz w:val="18"/>
          <w:szCs w:val="18"/>
        </w:rPr>
        <w:t>s</w:t>
      </w:r>
      <w:r>
        <w:rPr>
          <w:rFonts w:cs="Arial"/>
          <w:sz w:val="18"/>
          <w:szCs w:val="18"/>
        </w:rPr>
        <w:t xml:space="preserve"> based on their contribution to the business</w:t>
      </w:r>
      <w:r w:rsidRPr="00E63C16">
        <w:rPr>
          <w:rFonts w:cs="Arial"/>
          <w:sz w:val="18"/>
          <w:szCs w:val="18"/>
        </w:rPr>
        <w:t xml:space="preserve"> - i.e. companies where the shareholders work in the </w:t>
      </w:r>
      <w:r>
        <w:rPr>
          <w:rFonts w:cs="Arial"/>
          <w:sz w:val="18"/>
          <w:szCs w:val="18"/>
        </w:rPr>
        <w:t>business like partners in a professional services firm</w:t>
      </w:r>
      <w:r w:rsidRPr="00E63C16">
        <w:rPr>
          <w:rFonts w:cs="Arial"/>
          <w:sz w:val="18"/>
          <w:szCs w:val="18"/>
        </w:rPr>
        <w:t xml:space="preserve">.  Special provisions </w:t>
      </w:r>
      <w:r>
        <w:rPr>
          <w:rFonts w:cs="Arial"/>
          <w:sz w:val="18"/>
          <w:szCs w:val="18"/>
        </w:rPr>
        <w:t xml:space="preserve">usually </w:t>
      </w:r>
      <w:r w:rsidRPr="00E63C16">
        <w:rPr>
          <w:rFonts w:cs="Arial"/>
          <w:sz w:val="18"/>
          <w:szCs w:val="18"/>
        </w:rPr>
        <w:t>need to be included in those shareholder</w:t>
      </w:r>
      <w:r w:rsidR="00243A75">
        <w:rPr>
          <w:rFonts w:cs="Arial"/>
          <w:sz w:val="18"/>
          <w:szCs w:val="18"/>
        </w:rPr>
        <w:t>s’</w:t>
      </w:r>
      <w:r w:rsidRPr="00E63C16">
        <w:rPr>
          <w:rFonts w:cs="Arial"/>
          <w:sz w:val="18"/>
          <w:szCs w:val="18"/>
        </w:rPr>
        <w:t xml:space="preserve"> agreements </w:t>
      </w:r>
      <w:r>
        <w:rPr>
          <w:rFonts w:cs="Arial"/>
          <w:sz w:val="18"/>
          <w:szCs w:val="18"/>
        </w:rPr>
        <w:t xml:space="preserve">e.g. regarding remuneration, sharing of profits, and linking shareholding to active involvement in the business.  </w:t>
      </w:r>
    </w:p>
    <w:p w14:paraId="1A988AA5" w14:textId="74801283" w:rsidR="00B661FF" w:rsidRPr="005F730A" w:rsidRDefault="00B661FF" w:rsidP="00FA34ED">
      <w:pPr>
        <w:spacing w:before="200" w:after="160" w:line="240" w:lineRule="exact"/>
        <w:ind w:left="142"/>
        <w:rPr>
          <w:rFonts w:cs="Arial"/>
          <w:sz w:val="18"/>
          <w:szCs w:val="18"/>
        </w:rPr>
      </w:pPr>
      <w:r w:rsidRPr="00E63C16">
        <w:rPr>
          <w:rFonts w:cs="Arial"/>
          <w:sz w:val="18"/>
          <w:szCs w:val="18"/>
        </w:rPr>
        <w:t xml:space="preserve">This agreement </w:t>
      </w:r>
      <w:r>
        <w:rPr>
          <w:rFonts w:cs="Arial"/>
          <w:sz w:val="18"/>
          <w:szCs w:val="18"/>
        </w:rPr>
        <w:t xml:space="preserve">does not contain a mechanism to force the resolution of a </w:t>
      </w:r>
      <w:r w:rsidR="005F0A6D">
        <w:rPr>
          <w:rFonts w:cs="Arial"/>
          <w:sz w:val="18"/>
          <w:szCs w:val="18"/>
        </w:rPr>
        <w:t xml:space="preserve">major </w:t>
      </w:r>
      <w:r>
        <w:rPr>
          <w:rFonts w:cs="Arial"/>
          <w:sz w:val="18"/>
          <w:szCs w:val="18"/>
        </w:rPr>
        <w:t>dispute between shareholders, for example by requiring the business to be sold and the company wound up.  These types of provisions can be problematic in</w:t>
      </w:r>
      <w:r w:rsidR="00006B08">
        <w:rPr>
          <w:rFonts w:cs="Arial"/>
          <w:sz w:val="18"/>
          <w:szCs w:val="18"/>
        </w:rPr>
        <w:t xml:space="preserve"> tech</w:t>
      </w:r>
      <w:r>
        <w:rPr>
          <w:rFonts w:cs="Arial"/>
          <w:sz w:val="18"/>
          <w:szCs w:val="18"/>
        </w:rPr>
        <w:t xml:space="preserve"> start-up</w:t>
      </w:r>
      <w:r w:rsidR="00006B08">
        <w:rPr>
          <w:rFonts w:cs="Arial"/>
          <w:sz w:val="18"/>
          <w:szCs w:val="18"/>
        </w:rPr>
        <w:t>s</w:t>
      </w:r>
      <w:r>
        <w:rPr>
          <w:rFonts w:cs="Arial"/>
          <w:sz w:val="18"/>
          <w:szCs w:val="18"/>
        </w:rPr>
        <w:t>, as it can be very difficult to value or sell the business in the early stages.  Also, it is often not in founders’ interests to give this right to a disgruntled shareholder, and we usually advise against giving such a right to incoming investors as it provides</w:t>
      </w:r>
      <w:r w:rsidR="00FA34ED">
        <w:rPr>
          <w:rFonts w:cs="Arial"/>
          <w:sz w:val="18"/>
          <w:szCs w:val="18"/>
        </w:rPr>
        <w:t xml:space="preserve"> a forced liquidity option.  </w:t>
      </w:r>
      <w:r>
        <w:rPr>
          <w:rFonts w:cs="Arial"/>
          <w:sz w:val="18"/>
          <w:szCs w:val="18"/>
        </w:rPr>
        <w:t xml:space="preserve">However, while we think this is generally the best approach for this type of company, </w:t>
      </w:r>
      <w:r w:rsidR="00FA34ED">
        <w:rPr>
          <w:rFonts w:cs="Arial"/>
          <w:sz w:val="18"/>
          <w:szCs w:val="18"/>
        </w:rPr>
        <w:t xml:space="preserve">be aware </w:t>
      </w:r>
      <w:r>
        <w:rPr>
          <w:rFonts w:cs="Arial"/>
          <w:sz w:val="18"/>
          <w:szCs w:val="18"/>
        </w:rPr>
        <w:t xml:space="preserve">the downside is that if shareholders cannot resolve a dispute between themselves </w:t>
      </w:r>
      <w:r>
        <w:rPr>
          <w:rFonts w:cs="Arial"/>
          <w:sz w:val="18"/>
          <w:szCs w:val="18"/>
        </w:rPr>
        <w:t xml:space="preserve">commercially, it may </w:t>
      </w:r>
      <w:proofErr w:type="gramStart"/>
      <w:r>
        <w:rPr>
          <w:rFonts w:cs="Arial"/>
          <w:sz w:val="18"/>
          <w:szCs w:val="18"/>
        </w:rPr>
        <w:t>fester</w:t>
      </w:r>
      <w:proofErr w:type="gramEnd"/>
      <w:r>
        <w:rPr>
          <w:rFonts w:cs="Arial"/>
          <w:sz w:val="18"/>
          <w:szCs w:val="18"/>
        </w:rPr>
        <w:t xml:space="preserve"> and the company may become dysfunctional and/or deadlocked.  </w:t>
      </w:r>
    </w:p>
    <w:p w14:paraId="690B987B" w14:textId="77777777" w:rsidR="003904E3" w:rsidRDefault="003904E3" w:rsidP="003904E3">
      <w:pPr>
        <w:tabs>
          <w:tab w:val="left" w:pos="142"/>
        </w:tabs>
        <w:spacing w:after="160" w:line="240" w:lineRule="exact"/>
        <w:ind w:left="142"/>
        <w:rPr>
          <w:rFonts w:ascii="Arial Black" w:hAnsi="Arial Black" w:cs="Arial"/>
          <w:b/>
          <w:color w:val="C00000"/>
          <w:sz w:val="18"/>
          <w:szCs w:val="18"/>
        </w:rPr>
      </w:pPr>
    </w:p>
    <w:p w14:paraId="7CE59DE4" w14:textId="77777777" w:rsidR="003904E3" w:rsidRPr="00D83BB0" w:rsidRDefault="003904E3" w:rsidP="003904E3">
      <w:pPr>
        <w:tabs>
          <w:tab w:val="left" w:pos="142"/>
        </w:tabs>
        <w:spacing w:after="160" w:line="240" w:lineRule="exact"/>
        <w:ind w:left="142"/>
        <w:rPr>
          <w:rFonts w:ascii="Arial Black" w:hAnsi="Arial Black" w:cs="Arial"/>
          <w:b/>
          <w:color w:val="C00000"/>
          <w:sz w:val="18"/>
          <w:szCs w:val="18"/>
        </w:rPr>
      </w:pPr>
      <w:r w:rsidRPr="00D83BB0">
        <w:rPr>
          <w:rFonts w:ascii="Arial Black" w:hAnsi="Arial Black" w:cs="Arial"/>
          <w:b/>
          <w:color w:val="C00000"/>
          <w:sz w:val="18"/>
          <w:szCs w:val="18"/>
        </w:rPr>
        <w:t>applicable law</w:t>
      </w:r>
    </w:p>
    <w:p w14:paraId="0FE733A9" w14:textId="2F7AB0DA" w:rsidR="003904E3" w:rsidRDefault="003904E3" w:rsidP="003904E3">
      <w:pPr>
        <w:tabs>
          <w:tab w:val="left" w:pos="142"/>
        </w:tabs>
        <w:spacing w:before="200" w:after="160" w:line="240" w:lineRule="exact"/>
        <w:ind w:left="142"/>
        <w:rPr>
          <w:rFonts w:ascii="Arial Black" w:hAnsi="Arial Black" w:cs="Arial"/>
          <w:b/>
          <w:color w:val="C00000"/>
          <w:sz w:val="18"/>
          <w:szCs w:val="18"/>
        </w:rPr>
      </w:pPr>
      <w:r w:rsidRPr="00D83BB0">
        <w:rPr>
          <w:rFonts w:cs="Arial"/>
          <w:sz w:val="18"/>
          <w:szCs w:val="18"/>
        </w:rPr>
        <w:t xml:space="preserve">This document is intended for use by companies domiciled in </w:t>
      </w:r>
      <w:r w:rsidR="00FD374E">
        <w:rPr>
          <w:rFonts w:cs="Arial"/>
          <w:sz w:val="18"/>
          <w:szCs w:val="18"/>
        </w:rPr>
        <w:t>Southeast</w:t>
      </w:r>
      <w:r w:rsidRPr="00D83BB0">
        <w:rPr>
          <w:rFonts w:cs="Arial"/>
          <w:sz w:val="18"/>
          <w:szCs w:val="18"/>
        </w:rPr>
        <w:t xml:space="preserve"> Asia.  Because the laws in each </w:t>
      </w:r>
      <w:r w:rsidR="00FD374E">
        <w:rPr>
          <w:rFonts w:cs="Arial"/>
          <w:sz w:val="18"/>
          <w:szCs w:val="18"/>
        </w:rPr>
        <w:t>Southeast</w:t>
      </w:r>
      <w:r w:rsidRPr="00D83BB0">
        <w:rPr>
          <w:rFonts w:cs="Arial"/>
          <w:sz w:val="18"/>
          <w:szCs w:val="18"/>
        </w:rPr>
        <w:t xml:space="preserve"> Asian country are different, you </w:t>
      </w:r>
      <w:r w:rsidR="006F3D90">
        <w:rPr>
          <w:rFonts w:cs="Arial"/>
          <w:sz w:val="18"/>
          <w:szCs w:val="18"/>
        </w:rPr>
        <w:t>should</w:t>
      </w:r>
      <w:r w:rsidRPr="00D83BB0">
        <w:rPr>
          <w:rFonts w:cs="Arial"/>
          <w:sz w:val="18"/>
          <w:szCs w:val="18"/>
        </w:rPr>
        <w:t xml:space="preserve"> have the document reviewed by a local lawyer.  We have suggested (as a placeholder) that the document be subject to Singapore law as this is the most common domicile of tech companies raising capital in </w:t>
      </w:r>
      <w:r w:rsidR="00FD374E">
        <w:rPr>
          <w:rFonts w:cs="Arial"/>
          <w:sz w:val="18"/>
          <w:szCs w:val="18"/>
        </w:rPr>
        <w:t>Southeast</w:t>
      </w:r>
      <w:r w:rsidRPr="00D83BB0">
        <w:rPr>
          <w:rFonts w:cs="Arial"/>
          <w:sz w:val="18"/>
          <w:szCs w:val="18"/>
        </w:rPr>
        <w:t xml:space="preserve"> Asia, and Singapore is well respected as a</w:t>
      </w:r>
      <w:r w:rsidR="006F3D90">
        <w:rPr>
          <w:rFonts w:cs="Arial"/>
          <w:sz w:val="18"/>
          <w:szCs w:val="18"/>
        </w:rPr>
        <w:t xml:space="preserve"> legal</w:t>
      </w:r>
      <w:r w:rsidRPr="00D83BB0">
        <w:rPr>
          <w:rFonts w:cs="Arial"/>
          <w:sz w:val="18"/>
          <w:szCs w:val="18"/>
        </w:rPr>
        <w:t xml:space="preserve"> jurisdiction.  </w:t>
      </w:r>
    </w:p>
    <w:p w14:paraId="33B58960" w14:textId="77777777" w:rsidR="003904E3" w:rsidRDefault="003904E3" w:rsidP="00B661FF">
      <w:pPr>
        <w:tabs>
          <w:tab w:val="clear" w:pos="567"/>
          <w:tab w:val="left" w:pos="142"/>
        </w:tabs>
        <w:spacing w:before="200" w:after="160" w:line="240" w:lineRule="exact"/>
        <w:ind w:left="142"/>
        <w:rPr>
          <w:rFonts w:ascii="Arial Black" w:hAnsi="Arial Black" w:cs="Arial"/>
          <w:b/>
          <w:color w:val="C00000"/>
          <w:sz w:val="18"/>
          <w:szCs w:val="18"/>
        </w:rPr>
      </w:pPr>
    </w:p>
    <w:p w14:paraId="5663FD71" w14:textId="77777777" w:rsidR="00B661FF" w:rsidRPr="008D7B71" w:rsidRDefault="00B661FF" w:rsidP="00B661FF">
      <w:pPr>
        <w:tabs>
          <w:tab w:val="clear" w:pos="567"/>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54FEC286" w14:textId="77777777" w:rsidR="00B661FF" w:rsidRPr="003143D5" w:rsidRDefault="00B661FF" w:rsidP="00B661FF">
      <w:pPr>
        <w:tabs>
          <w:tab w:val="clear" w:pos="567"/>
        </w:tabs>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 you should </w:t>
      </w:r>
      <w:r w:rsidRPr="003143D5">
        <w:rPr>
          <w:rFonts w:cs="Arial"/>
          <w:sz w:val="18"/>
          <w:szCs w:val="18"/>
        </w:rPr>
        <w:t>delete all user notes and the statements in the footer from the final form of your document.</w:t>
      </w:r>
    </w:p>
    <w:p w14:paraId="4C796CCA" w14:textId="77777777" w:rsidR="00B661FF" w:rsidRPr="003143D5" w:rsidRDefault="00B661FF" w:rsidP="00B661FF">
      <w:pPr>
        <w:tabs>
          <w:tab w:val="clear" w:pos="567"/>
        </w:tabs>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xml:space="preserve">] around black text </w:t>
      </w:r>
      <w:bookmarkStart w:id="1" w:name="_GoBack"/>
      <w:r w:rsidRPr="003143D5">
        <w:rPr>
          <w:rFonts w:cs="Arial"/>
          <w:sz w:val="18"/>
          <w:szCs w:val="18"/>
        </w:rPr>
        <w:t>means that:</w:t>
      </w:r>
    </w:p>
    <w:p w14:paraId="694F609D" w14:textId="77777777" w:rsidR="00B661FF" w:rsidRPr="003143D5" w:rsidRDefault="00B661FF" w:rsidP="00B661FF">
      <w:pPr>
        <w:numPr>
          <w:ilvl w:val="1"/>
          <w:numId w:val="21"/>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Pr>
          <w:rFonts w:cs="Arial"/>
          <w:sz w:val="18"/>
          <w:szCs w:val="18"/>
        </w:rPr>
        <w:t>ted details need to be inserted</w:t>
      </w:r>
    </w:p>
    <w:p w14:paraId="253A6212" w14:textId="77777777" w:rsidR="00B661FF" w:rsidRPr="003143D5" w:rsidRDefault="00B661FF" w:rsidP="00B661FF">
      <w:pPr>
        <w:numPr>
          <w:ilvl w:val="1"/>
          <w:numId w:val="21"/>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4BD109C1" w14:textId="77777777" w:rsidR="00B661FF" w:rsidRPr="003143D5" w:rsidRDefault="00B661FF" w:rsidP="00B661FF">
      <w:pPr>
        <w:numPr>
          <w:ilvl w:val="1"/>
          <w:numId w:val="21"/>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7C5D61C5" w14:textId="08C1CCC2" w:rsidR="00A06A24" w:rsidRPr="00A06A24" w:rsidRDefault="00B661FF" w:rsidP="00A06A24">
      <w:pPr>
        <w:tabs>
          <w:tab w:val="clear" w:pos="567"/>
        </w:tabs>
        <w:spacing w:before="200" w:after="160" w:line="240" w:lineRule="exact"/>
        <w:ind w:left="142"/>
        <w:rPr>
          <w:rFonts w:cs="Arial"/>
          <w:sz w:val="18"/>
          <w:szCs w:val="18"/>
          <w:u w:val="single"/>
        </w:rPr>
        <w:sectPr w:rsidR="00A06A24" w:rsidRPr="00A06A24" w:rsidSect="00B15ACC">
          <w:type w:val="continuous"/>
          <w:pgSz w:w="11907" w:h="16840" w:code="9"/>
          <w:pgMar w:top="1418" w:right="1559" w:bottom="1247" w:left="1701" w:header="709" w:footer="709" w:gutter="0"/>
          <w:cols w:num="2" w:space="708"/>
          <w:titlePg/>
          <w:docGrid w:linePitch="360"/>
        </w:sectPr>
      </w:pPr>
      <w:r w:rsidRPr="009726F7">
        <w:rPr>
          <w:rFonts w:cs="Arial"/>
          <w:sz w:val="18"/>
          <w:szCs w:val="18"/>
        </w:rPr>
        <w:t>Before finalising your document, check for all square brackets to ensure you have considered the relevant option and ensure that all square brackets have been deleted.</w:t>
      </w:r>
      <w:r>
        <w:rPr>
          <w:rFonts w:cs="Arial"/>
          <w:sz w:val="18"/>
          <w:szCs w:val="18"/>
        </w:rPr>
        <w:t xml:space="preserve">  Also, i</w:t>
      </w:r>
      <w:r w:rsidRPr="009726F7">
        <w:rPr>
          <w:rFonts w:cs="Arial"/>
          <w:sz w:val="18"/>
          <w:szCs w:val="18"/>
        </w:rPr>
        <w:t>f you delete any clauses or schedules, remember to cross reference check the document.</w:t>
      </w:r>
    </w:p>
    <w:p w14:paraId="79521609" w14:textId="77777777" w:rsidR="009D529B" w:rsidRPr="003D2641" w:rsidRDefault="003D2641" w:rsidP="000026FA">
      <w:pPr>
        <w:jc w:val="center"/>
        <w:rPr>
          <w:smallCaps/>
        </w:rPr>
      </w:pPr>
      <w:r w:rsidRPr="003D2641">
        <w:rPr>
          <w:rFonts w:ascii="Arial Black" w:hAnsi="Arial Black"/>
          <w:smallCaps/>
          <w:color w:val="C00000"/>
          <w:sz w:val="40"/>
          <w:szCs w:val="40"/>
        </w:rPr>
        <w:lastRenderedPageBreak/>
        <w:t xml:space="preserve">Shareholders’ </w:t>
      </w:r>
      <w:bookmarkEnd w:id="1"/>
      <w:r w:rsidRPr="003D2641">
        <w:rPr>
          <w:rFonts w:ascii="Arial Black" w:hAnsi="Arial Black"/>
          <w:smallCaps/>
          <w:color w:val="595959"/>
          <w:sz w:val="40"/>
          <w:szCs w:val="40"/>
        </w:rPr>
        <w:t>Agreement</w:t>
      </w:r>
    </w:p>
    <w:p w14:paraId="5D244BEE" w14:textId="77777777" w:rsidR="009D529B" w:rsidRPr="005179B6" w:rsidRDefault="003D2641" w:rsidP="0054610D">
      <w:bookmarkStart w:id="2" w:name="Agree"/>
      <w:bookmarkEnd w:id="2"/>
      <w:r w:rsidRPr="005179B6">
        <w:rPr>
          <w:b/>
        </w:rPr>
        <w:t>DATE</w:t>
      </w:r>
    </w:p>
    <w:p w14:paraId="5481E29E" w14:textId="77777777" w:rsidR="0054610D" w:rsidRPr="005179B6" w:rsidRDefault="003D2641" w:rsidP="0054610D">
      <w:pPr>
        <w:rPr>
          <w:b/>
        </w:rPr>
      </w:pPr>
      <w:r w:rsidRPr="005179B6">
        <w:rPr>
          <w:b/>
        </w:rPr>
        <w:t>PARTIE</w:t>
      </w:r>
      <w:r w:rsidR="00964773" w:rsidRPr="005179B6">
        <w:rPr>
          <w:b/>
        </w:rPr>
        <w:t>S</w:t>
      </w:r>
    </w:p>
    <w:p w14:paraId="15DFBC97" w14:textId="77777777" w:rsidR="00DA54F4" w:rsidRPr="00DA54F4" w:rsidRDefault="003E4B2A" w:rsidP="00DA54F4">
      <w:pPr>
        <w:pStyle w:val="ListParagraph"/>
        <w:numPr>
          <w:ilvl w:val="0"/>
          <w:numId w:val="19"/>
        </w:numPr>
        <w:ind w:left="567" w:hanging="573"/>
        <w:contextualSpacing w:val="0"/>
      </w:pPr>
      <w:bookmarkStart w:id="3" w:name="Inside"/>
      <w:bookmarkEnd w:id="3"/>
      <w:r>
        <w:t>The persons whose names and addresses are set out in part 1 of Schedule 1 (</w:t>
      </w:r>
      <w:r w:rsidR="00D145D3">
        <w:t xml:space="preserve">together the </w:t>
      </w:r>
      <w:r w:rsidRPr="00DA54F4">
        <w:rPr>
          <w:b/>
        </w:rPr>
        <w:t>I</w:t>
      </w:r>
      <w:r w:rsidRPr="00DA54F4">
        <w:rPr>
          <w:b/>
          <w:bCs/>
        </w:rPr>
        <w:t>nvestors</w:t>
      </w:r>
      <w:r>
        <w:t xml:space="preserve"> and each an </w:t>
      </w:r>
      <w:r w:rsidRPr="00DA54F4">
        <w:rPr>
          <w:b/>
          <w:bCs/>
        </w:rPr>
        <w:t>Investor</w:t>
      </w:r>
      <w:r w:rsidR="00D145D3">
        <w:rPr>
          <w:bCs/>
        </w:rPr>
        <w:t>)</w:t>
      </w:r>
    </w:p>
    <w:p w14:paraId="4352A3A1" w14:textId="77777777" w:rsidR="00DA54F4" w:rsidRDefault="003E4B2A" w:rsidP="00DA54F4">
      <w:pPr>
        <w:pStyle w:val="ListParagraph"/>
        <w:numPr>
          <w:ilvl w:val="0"/>
          <w:numId w:val="19"/>
        </w:numPr>
        <w:ind w:left="567" w:hanging="573"/>
        <w:contextualSpacing w:val="0"/>
      </w:pPr>
      <w:r>
        <w:t>The persons whose names and addresses are set out in part</w:t>
      </w:r>
      <w:r w:rsidR="00A63B98">
        <w:t xml:space="preserve"> 2 of Schedule 1 (together the </w:t>
      </w:r>
      <w:r w:rsidRPr="00DA54F4">
        <w:rPr>
          <w:b/>
          <w:bCs/>
        </w:rPr>
        <w:t>Founders</w:t>
      </w:r>
      <w:r w:rsidR="00A63B98">
        <w:t xml:space="preserve"> and each a </w:t>
      </w:r>
      <w:r w:rsidRPr="00DA54F4">
        <w:rPr>
          <w:b/>
          <w:bCs/>
        </w:rPr>
        <w:t>Founder</w:t>
      </w:r>
      <w:r>
        <w:t>)</w:t>
      </w:r>
    </w:p>
    <w:p w14:paraId="545C28DC" w14:textId="77777777" w:rsidR="00DA54F4" w:rsidRPr="00DA54F4" w:rsidRDefault="00DA54F4" w:rsidP="00DA54F4">
      <w:pPr>
        <w:ind w:left="567"/>
        <w:rPr>
          <w:b/>
          <w:color w:val="C00000"/>
        </w:rPr>
      </w:pPr>
      <w:r w:rsidRPr="00DA54F4">
        <w:rPr>
          <w:b/>
          <w:color w:val="C00000"/>
          <w:highlight w:val="lightGray"/>
        </w:rPr>
        <w:t>[</w:t>
      </w:r>
      <w:r w:rsidRPr="00DA54F4">
        <w:rPr>
          <w:b/>
          <w:i/>
          <w:color w:val="C00000"/>
          <w:highlight w:val="lightGray"/>
        </w:rPr>
        <w:t>User note:  Use the following</w:t>
      </w:r>
      <w:r>
        <w:rPr>
          <w:b/>
          <w:i/>
          <w:color w:val="C00000"/>
          <w:highlight w:val="lightGray"/>
        </w:rPr>
        <w:t xml:space="preserve"> if there are existing shareholders in the Company </w:t>
      </w:r>
      <w:r w:rsidR="00A63B98">
        <w:rPr>
          <w:b/>
          <w:i/>
          <w:color w:val="C00000"/>
          <w:highlight w:val="lightGray"/>
        </w:rPr>
        <w:t>other</w:t>
      </w:r>
      <w:r>
        <w:rPr>
          <w:b/>
          <w:i/>
          <w:color w:val="C00000"/>
          <w:highlight w:val="lightGray"/>
        </w:rPr>
        <w:t xml:space="preserve"> than the Founders</w:t>
      </w:r>
      <w:r w:rsidRPr="00DA54F4">
        <w:rPr>
          <w:b/>
          <w:i/>
          <w:color w:val="C00000"/>
          <w:highlight w:val="lightGray"/>
        </w:rPr>
        <w:t>.</w:t>
      </w:r>
      <w:r w:rsidRPr="00DA54F4">
        <w:rPr>
          <w:b/>
          <w:color w:val="C00000"/>
          <w:highlight w:val="lightGray"/>
        </w:rPr>
        <w:t>]</w:t>
      </w:r>
    </w:p>
    <w:p w14:paraId="6E9863CC" w14:textId="77777777" w:rsidR="00DA54F4" w:rsidRDefault="00DA54F4" w:rsidP="00DA54F4">
      <w:pPr>
        <w:pStyle w:val="ListParagraph"/>
        <w:numPr>
          <w:ilvl w:val="0"/>
          <w:numId w:val="19"/>
        </w:numPr>
        <w:ind w:left="567" w:hanging="573"/>
        <w:contextualSpacing w:val="0"/>
      </w:pPr>
      <w:r>
        <w:t>[</w:t>
      </w:r>
      <w:r w:rsidRPr="00A63B98">
        <w:rPr>
          <w:i/>
        </w:rPr>
        <w:t>The persons whose names and addresses are set out in part</w:t>
      </w:r>
      <w:r w:rsidR="008C59F5" w:rsidRPr="00A63B98">
        <w:rPr>
          <w:i/>
        </w:rPr>
        <w:t xml:space="preserve"> 3 of schedule 1 (together the </w:t>
      </w:r>
      <w:r w:rsidRPr="00A63B98">
        <w:rPr>
          <w:b/>
          <w:bCs/>
          <w:i/>
        </w:rPr>
        <w:t>Existing Shareholders</w:t>
      </w:r>
      <w:r w:rsidRPr="00A63B98">
        <w:rPr>
          <w:i/>
        </w:rPr>
        <w:t>)</w:t>
      </w:r>
      <w:r w:rsidR="00A63B98">
        <w:t>]</w:t>
      </w:r>
    </w:p>
    <w:p w14:paraId="67398E2E" w14:textId="77777777" w:rsidR="003E4B2A" w:rsidRDefault="003E4B2A" w:rsidP="00DA54F4">
      <w:pPr>
        <w:pStyle w:val="ListParagraph"/>
        <w:numPr>
          <w:ilvl w:val="0"/>
          <w:numId w:val="19"/>
        </w:numPr>
        <w:ind w:left="567" w:hanging="573"/>
        <w:contextualSpacing w:val="0"/>
      </w:pPr>
      <w:r>
        <w:t>[</w:t>
      </w:r>
      <w:r w:rsidRPr="00DA54F4">
        <w:rPr>
          <w:b/>
          <w:i/>
        </w:rPr>
        <w:t>INSERT NAME OF COMPANY</w:t>
      </w:r>
      <w:r w:rsidR="00FA34ED">
        <w:t>]</w:t>
      </w:r>
      <w:r w:rsidR="00243A75">
        <w:t xml:space="preserve">  (</w:t>
      </w:r>
      <w:r>
        <w:t>company number [</w:t>
      </w:r>
      <w:r w:rsidRPr="00DA54F4">
        <w:rPr>
          <w:i/>
        </w:rPr>
        <w:t>insert</w:t>
      </w:r>
      <w:r w:rsidR="00243A75">
        <w:t>]),  a company incorporated in [</w:t>
      </w:r>
      <w:r w:rsidR="00243A75" w:rsidRPr="00DA54F4">
        <w:rPr>
          <w:i/>
        </w:rPr>
        <w:t>insert</w:t>
      </w:r>
      <w:r w:rsidR="00243A75">
        <w:t xml:space="preserve">] </w:t>
      </w:r>
      <w:r>
        <w:t>whose registered office is at [</w:t>
      </w:r>
      <w:r w:rsidRPr="00DA54F4">
        <w:rPr>
          <w:i/>
        </w:rPr>
        <w:t>insert</w:t>
      </w:r>
      <w:r>
        <w:t>]) (</w:t>
      </w:r>
      <w:r w:rsidRPr="00DA54F4">
        <w:rPr>
          <w:b/>
          <w:bCs/>
        </w:rPr>
        <w:t>Company</w:t>
      </w:r>
      <w:r>
        <w:t xml:space="preserve">) </w:t>
      </w:r>
    </w:p>
    <w:p w14:paraId="26106B54" w14:textId="77777777" w:rsidR="0053505D" w:rsidRPr="005179B6" w:rsidRDefault="0053505D" w:rsidP="0053505D">
      <w:pPr>
        <w:pStyle w:val="ListParagraph"/>
        <w:ind w:left="567"/>
        <w:contextualSpacing w:val="0"/>
      </w:pPr>
    </w:p>
    <w:p w14:paraId="5EF24F94" w14:textId="77777777" w:rsidR="009D529B" w:rsidRPr="005179B6" w:rsidRDefault="004D6637" w:rsidP="0054610D">
      <w:pPr>
        <w:rPr>
          <w:b/>
        </w:rPr>
      </w:pPr>
      <w:r>
        <w:rPr>
          <w:b/>
        </w:rPr>
        <w:t>AGREEMENT</w:t>
      </w:r>
    </w:p>
    <w:p w14:paraId="10E3C758" w14:textId="77777777" w:rsidR="009D529B" w:rsidRPr="005179B6" w:rsidRDefault="005C0E04" w:rsidP="003D2641">
      <w:pPr>
        <w:pStyle w:val="OutlinenumberedLevel5"/>
        <w:tabs>
          <w:tab w:val="clear" w:pos="2268"/>
          <w:tab w:val="num" w:pos="567"/>
        </w:tabs>
        <w:ind w:left="567"/>
      </w:pPr>
      <w:r>
        <w:t xml:space="preserve">Each of </w:t>
      </w:r>
      <w:r w:rsidR="005F0A6D">
        <w:t>[</w:t>
      </w:r>
      <w:r w:rsidRPr="005317F5">
        <w:rPr>
          <w:i/>
        </w:rPr>
        <w:t>the</w:t>
      </w:r>
      <w:r>
        <w:t xml:space="preserve"> </w:t>
      </w:r>
      <w:r w:rsidR="005F0A6D" w:rsidRPr="00243A75">
        <w:rPr>
          <w:i/>
        </w:rPr>
        <w:t>Existing Shareholders</w:t>
      </w:r>
      <w:r w:rsidR="005F0A6D">
        <w:t xml:space="preserve">], the Investors and </w:t>
      </w:r>
      <w:r w:rsidR="001E1A34">
        <w:t>the Founders</w:t>
      </w:r>
      <w:r w:rsidR="005F0A6D">
        <w:t xml:space="preserve"> are</w:t>
      </w:r>
      <w:r w:rsidR="009D529B" w:rsidRPr="005179B6">
        <w:t xml:space="preserve"> the </w:t>
      </w:r>
      <w:r w:rsidR="00513DB7" w:rsidRPr="005179B6">
        <w:t>shareholders of</w:t>
      </w:r>
      <w:r w:rsidR="009D529B" w:rsidRPr="005179B6">
        <w:t xml:space="preserve"> the Company.</w:t>
      </w:r>
    </w:p>
    <w:p w14:paraId="0D634800" w14:textId="77777777" w:rsidR="009D529B" w:rsidRDefault="009D529B" w:rsidP="003D2641">
      <w:pPr>
        <w:pStyle w:val="OutlinenumberedLevel5"/>
        <w:tabs>
          <w:tab w:val="clear" w:pos="2268"/>
          <w:tab w:val="num" w:pos="567"/>
        </w:tabs>
        <w:ind w:left="567"/>
      </w:pPr>
      <w:r w:rsidRPr="005179B6">
        <w:t xml:space="preserve">The </w:t>
      </w:r>
      <w:r w:rsidR="00FD4D08" w:rsidRPr="005179B6">
        <w:t>p</w:t>
      </w:r>
      <w:r w:rsidRPr="005179B6">
        <w:t xml:space="preserve">arties wish to record </w:t>
      </w:r>
      <w:r w:rsidR="00FD4D08" w:rsidRPr="005179B6">
        <w:t>arrangements for</w:t>
      </w:r>
      <w:r w:rsidRPr="005179B6">
        <w:t xml:space="preserve"> the governance and business of the Company </w:t>
      </w:r>
      <w:r w:rsidR="00C96A26" w:rsidRPr="005179B6">
        <w:t>on the terms of this Agreement</w:t>
      </w:r>
      <w:r w:rsidR="00D503FE" w:rsidRPr="005179B6">
        <w:t>.</w:t>
      </w:r>
    </w:p>
    <w:p w14:paraId="34CDD0FD" w14:textId="77777777" w:rsidR="00AF5939" w:rsidRPr="005179B6" w:rsidRDefault="00AF5939" w:rsidP="00AF5939">
      <w:pPr>
        <w:pStyle w:val="OutlinenumberedLevel5"/>
        <w:numPr>
          <w:ilvl w:val="0"/>
          <w:numId w:val="0"/>
        </w:numPr>
      </w:pPr>
    </w:p>
    <w:p w14:paraId="56D73B19" w14:textId="77777777" w:rsidR="00AA2949" w:rsidRDefault="00AA2949" w:rsidP="00A86080">
      <w:pPr>
        <w:keepNext/>
        <w:rPr>
          <w:b/>
          <w:color w:val="C00000"/>
        </w:rPr>
      </w:pPr>
      <w:r w:rsidRPr="001D0E9E">
        <w:rPr>
          <w:b/>
          <w:color w:val="C00000"/>
          <w:highlight w:val="lightGray"/>
        </w:rPr>
        <w:t>[</w:t>
      </w:r>
      <w:r w:rsidRPr="001D0E9E">
        <w:rPr>
          <w:b/>
          <w:i/>
          <w:color w:val="C00000"/>
          <w:highlight w:val="lightGray"/>
        </w:rPr>
        <w:t>User note:  Use the following signature block for each party that is a company.</w:t>
      </w:r>
      <w:r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D36655" w:rsidRPr="005179B6" w14:paraId="05498D0B" w14:textId="77777777" w:rsidTr="00D76364">
        <w:tc>
          <w:tcPr>
            <w:tcW w:w="3934" w:type="dxa"/>
          </w:tcPr>
          <w:p w14:paraId="1A0308F9" w14:textId="77777777" w:rsidR="00D36655" w:rsidRPr="005179B6" w:rsidRDefault="00D36655" w:rsidP="00A86080">
            <w:pPr>
              <w:keepNex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xml:space="preserve">] </w:t>
            </w:r>
            <w:r w:rsidRPr="005179B6">
              <w:rPr>
                <w:rFonts w:cs="Arial"/>
              </w:rPr>
              <w:t>by:</w:t>
            </w:r>
          </w:p>
        </w:tc>
        <w:tc>
          <w:tcPr>
            <w:tcW w:w="425" w:type="dxa"/>
          </w:tcPr>
          <w:p w14:paraId="017BF89A" w14:textId="77777777" w:rsidR="00D36655" w:rsidRPr="005179B6" w:rsidRDefault="00D36655" w:rsidP="00A86080">
            <w:pPr>
              <w:keepNext/>
            </w:pPr>
            <w:r w:rsidRPr="005179B6">
              <w:t>)</w:t>
            </w:r>
            <w:r w:rsidRPr="005179B6">
              <w:br/>
              <w:t>)</w:t>
            </w:r>
          </w:p>
        </w:tc>
        <w:tc>
          <w:tcPr>
            <w:tcW w:w="236" w:type="dxa"/>
          </w:tcPr>
          <w:p w14:paraId="0BFCCBA5" w14:textId="77777777" w:rsidR="00D36655" w:rsidRPr="005179B6" w:rsidRDefault="00D36655" w:rsidP="00A86080">
            <w:pPr>
              <w:keepNext/>
              <w:rPr>
                <w:rFonts w:cs="Arial"/>
              </w:rPr>
            </w:pPr>
          </w:p>
        </w:tc>
        <w:tc>
          <w:tcPr>
            <w:tcW w:w="3402" w:type="dxa"/>
          </w:tcPr>
          <w:p w14:paraId="7C1D260C" w14:textId="77777777" w:rsidR="00D36655" w:rsidRPr="005179B6" w:rsidRDefault="00D36655" w:rsidP="00A86080">
            <w:pPr>
              <w:keepNext/>
              <w:rPr>
                <w:rFonts w:cs="Arial"/>
              </w:rPr>
            </w:pPr>
          </w:p>
        </w:tc>
      </w:tr>
      <w:tr w:rsidR="00D36655" w:rsidRPr="008B7C99" w14:paraId="2EE008CA" w14:textId="77777777" w:rsidTr="00D76364">
        <w:tc>
          <w:tcPr>
            <w:tcW w:w="3934" w:type="dxa"/>
          </w:tcPr>
          <w:p w14:paraId="71B47F70" w14:textId="77777777" w:rsidR="00D36655" w:rsidRPr="005179B6" w:rsidRDefault="00D36655" w:rsidP="00D76364">
            <w:pPr>
              <w:keepNext/>
              <w:rPr>
                <w:rFonts w:cs="Arial"/>
              </w:rPr>
            </w:pPr>
          </w:p>
        </w:tc>
        <w:tc>
          <w:tcPr>
            <w:tcW w:w="425" w:type="dxa"/>
          </w:tcPr>
          <w:p w14:paraId="3489DE7B" w14:textId="77777777" w:rsidR="00D36655" w:rsidRPr="005179B6" w:rsidRDefault="00D36655" w:rsidP="00D76364">
            <w:pPr>
              <w:keepNext/>
              <w:rPr>
                <w:rFonts w:cs="Arial"/>
              </w:rPr>
            </w:pPr>
          </w:p>
        </w:tc>
        <w:tc>
          <w:tcPr>
            <w:tcW w:w="236" w:type="dxa"/>
          </w:tcPr>
          <w:p w14:paraId="2828D2A7" w14:textId="77777777" w:rsidR="00D36655" w:rsidRPr="005179B6" w:rsidRDefault="00D36655" w:rsidP="00D76364">
            <w:pPr>
              <w:keepNext/>
              <w:rPr>
                <w:rFonts w:cs="Arial"/>
              </w:rPr>
            </w:pPr>
          </w:p>
        </w:tc>
        <w:tc>
          <w:tcPr>
            <w:tcW w:w="3402" w:type="dxa"/>
            <w:tcBorders>
              <w:top w:val="single" w:sz="4" w:space="0" w:color="auto"/>
              <w:bottom w:val="single" w:sz="4" w:space="0" w:color="auto"/>
            </w:tcBorders>
          </w:tcPr>
          <w:p w14:paraId="41260C76" w14:textId="77777777" w:rsidR="00D36655" w:rsidRPr="008B7C99" w:rsidRDefault="00D36655" w:rsidP="00D76364">
            <w:pPr>
              <w:keepNext/>
              <w:rPr>
                <w:rFonts w:cs="Arial"/>
              </w:rPr>
            </w:pPr>
            <w:r w:rsidRPr="005179B6">
              <w:rPr>
                <w:rFonts w:cs="Arial"/>
              </w:rPr>
              <w:t xml:space="preserve">Signature of </w:t>
            </w:r>
            <w:r>
              <w:rPr>
                <w:rFonts w:cs="Arial"/>
              </w:rPr>
              <w:t>authorised signatory</w:t>
            </w:r>
          </w:p>
          <w:p w14:paraId="6BB8E2C1" w14:textId="77777777" w:rsidR="00D36655" w:rsidRPr="008B7C99" w:rsidRDefault="00D36655" w:rsidP="00D76364">
            <w:pPr>
              <w:keepNext/>
              <w:rPr>
                <w:rFonts w:cs="Arial"/>
              </w:rPr>
            </w:pPr>
          </w:p>
        </w:tc>
      </w:tr>
      <w:tr w:rsidR="00D36655" w:rsidRPr="008B7C99" w14:paraId="78A1E9E7" w14:textId="77777777" w:rsidTr="00D76364">
        <w:tc>
          <w:tcPr>
            <w:tcW w:w="3934" w:type="dxa"/>
          </w:tcPr>
          <w:p w14:paraId="63BDFED4" w14:textId="77777777" w:rsidR="00D36655" w:rsidRPr="008B7C99" w:rsidRDefault="00D36655" w:rsidP="00D76364">
            <w:pPr>
              <w:rPr>
                <w:rFonts w:cs="Arial"/>
              </w:rPr>
            </w:pPr>
          </w:p>
        </w:tc>
        <w:tc>
          <w:tcPr>
            <w:tcW w:w="425" w:type="dxa"/>
          </w:tcPr>
          <w:p w14:paraId="0AE5F5DE" w14:textId="77777777" w:rsidR="00D36655" w:rsidRPr="008B7C99" w:rsidRDefault="00D36655" w:rsidP="00D76364">
            <w:pPr>
              <w:rPr>
                <w:rFonts w:cs="Arial"/>
              </w:rPr>
            </w:pPr>
          </w:p>
        </w:tc>
        <w:tc>
          <w:tcPr>
            <w:tcW w:w="236" w:type="dxa"/>
          </w:tcPr>
          <w:p w14:paraId="3315F9E0" w14:textId="77777777" w:rsidR="00D36655" w:rsidRPr="008B7C99" w:rsidRDefault="00D36655" w:rsidP="00D76364">
            <w:pPr>
              <w:rPr>
                <w:rFonts w:cs="Arial"/>
              </w:rPr>
            </w:pPr>
          </w:p>
        </w:tc>
        <w:tc>
          <w:tcPr>
            <w:tcW w:w="3402" w:type="dxa"/>
            <w:tcBorders>
              <w:top w:val="single" w:sz="4" w:space="0" w:color="auto"/>
            </w:tcBorders>
          </w:tcPr>
          <w:p w14:paraId="6D1FD100" w14:textId="77777777" w:rsidR="00D36655" w:rsidRPr="008B7C99" w:rsidRDefault="00D36655" w:rsidP="00D76364">
            <w:pPr>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76973B53" w14:textId="347895F1" w:rsidR="00A06A24" w:rsidRDefault="00A06A24" w:rsidP="00AA2949">
      <w:pPr>
        <w:rPr>
          <w:b/>
          <w:i/>
          <w:color w:val="C00000"/>
        </w:rPr>
      </w:pPr>
    </w:p>
    <w:p w14:paraId="111D0AD5" w14:textId="11AA51FB" w:rsidR="00D36655" w:rsidRPr="00A06A24" w:rsidRDefault="002D1617" w:rsidP="002D1617">
      <w:pPr>
        <w:tabs>
          <w:tab w:val="left" w:pos="5580"/>
        </w:tabs>
      </w:pPr>
      <w:r>
        <w:tab/>
      </w:r>
      <w:r>
        <w:tab/>
      </w:r>
    </w:p>
    <w:p w14:paraId="22CBDB76" w14:textId="77777777" w:rsidR="00D36655" w:rsidRPr="005179B6" w:rsidRDefault="00D36655" w:rsidP="00A86080">
      <w:pPr>
        <w:keepNext/>
        <w:rPr>
          <w:b/>
          <w:color w:val="C00000"/>
        </w:rPr>
      </w:pPr>
      <w:r w:rsidRPr="001D0E9E">
        <w:rPr>
          <w:b/>
          <w:color w:val="C00000"/>
          <w:highlight w:val="lightGray"/>
        </w:rPr>
        <w:lastRenderedPageBreak/>
        <w:t>[</w:t>
      </w:r>
      <w:r w:rsidRPr="001D0E9E">
        <w:rPr>
          <w:b/>
          <w:i/>
          <w:color w:val="C00000"/>
          <w:highlight w:val="lightGray"/>
        </w:rPr>
        <w:t>User note:  Use the following signature block for each party that is an individual.</w:t>
      </w:r>
      <w:r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6A7A11" w:rsidRPr="00FE3DE5" w14:paraId="0C4848C9" w14:textId="77777777" w:rsidTr="004044D0">
        <w:tc>
          <w:tcPr>
            <w:tcW w:w="3934" w:type="dxa"/>
          </w:tcPr>
          <w:p w14:paraId="01AEFE89" w14:textId="77777777" w:rsidR="006A7A11" w:rsidRPr="00FE3DE5" w:rsidRDefault="006A7A11" w:rsidP="00A86080">
            <w:pPr>
              <w:keepNext/>
            </w:pPr>
            <w:r w:rsidRPr="0038596C">
              <w:rPr>
                <w:b/>
              </w:rPr>
              <w:t>SIGNED</w:t>
            </w:r>
            <w:r w:rsidRPr="00FE3DE5">
              <w:t xml:space="preserve"> by</w:t>
            </w:r>
            <w:r w:rsidRPr="001314EC">
              <w:rPr>
                <w:b/>
              </w:rPr>
              <w:t xml:space="preserve"> </w:t>
            </w:r>
            <w:r w:rsidR="0058579F">
              <w:rPr>
                <w:b/>
              </w:rPr>
              <w:t>[</w:t>
            </w:r>
            <w:r w:rsidR="0058579F" w:rsidRPr="0058579F">
              <w:rPr>
                <w:b/>
                <w:i/>
              </w:rPr>
              <w:t>INSERT</w:t>
            </w:r>
            <w:r w:rsidR="0058579F">
              <w:rPr>
                <w:b/>
              </w:rPr>
              <w:t>]</w:t>
            </w:r>
            <w:r w:rsidRPr="00FE3DE5">
              <w:t>:</w:t>
            </w:r>
          </w:p>
        </w:tc>
        <w:tc>
          <w:tcPr>
            <w:tcW w:w="425" w:type="dxa"/>
          </w:tcPr>
          <w:p w14:paraId="316777E1" w14:textId="77777777" w:rsidR="006A7A11" w:rsidRPr="00FE3DE5" w:rsidRDefault="006A7A11" w:rsidP="00A86080">
            <w:pPr>
              <w:keepNext/>
            </w:pPr>
            <w:r w:rsidRPr="00FE3DE5">
              <w:t>)</w:t>
            </w:r>
            <w:r w:rsidRPr="00FE3DE5">
              <w:br/>
              <w:t>)</w:t>
            </w:r>
          </w:p>
        </w:tc>
        <w:tc>
          <w:tcPr>
            <w:tcW w:w="236" w:type="dxa"/>
          </w:tcPr>
          <w:p w14:paraId="696ECFB9" w14:textId="77777777" w:rsidR="006A7A11" w:rsidRPr="00FE3DE5" w:rsidRDefault="006A7A11" w:rsidP="00A86080">
            <w:pPr>
              <w:keepNext/>
            </w:pPr>
          </w:p>
        </w:tc>
        <w:tc>
          <w:tcPr>
            <w:tcW w:w="3402" w:type="dxa"/>
          </w:tcPr>
          <w:p w14:paraId="5B23ED02" w14:textId="77777777" w:rsidR="006A7A11" w:rsidRPr="00FE3DE5" w:rsidRDefault="006A7A11" w:rsidP="00A86080">
            <w:pPr>
              <w:keepNext/>
            </w:pPr>
          </w:p>
        </w:tc>
      </w:tr>
      <w:tr w:rsidR="006A7A11" w:rsidRPr="00FE3DE5" w14:paraId="199D6FBD" w14:textId="77777777" w:rsidTr="004044D0">
        <w:tc>
          <w:tcPr>
            <w:tcW w:w="3934" w:type="dxa"/>
          </w:tcPr>
          <w:p w14:paraId="4C1CFF71" w14:textId="77777777" w:rsidR="006A7A11" w:rsidRPr="00FE3DE5" w:rsidRDefault="006A7A11" w:rsidP="004044D0"/>
        </w:tc>
        <w:tc>
          <w:tcPr>
            <w:tcW w:w="425" w:type="dxa"/>
          </w:tcPr>
          <w:p w14:paraId="0F806347" w14:textId="77777777" w:rsidR="006A7A11" w:rsidRPr="00FE3DE5" w:rsidRDefault="006A7A11" w:rsidP="004044D0"/>
        </w:tc>
        <w:tc>
          <w:tcPr>
            <w:tcW w:w="236" w:type="dxa"/>
          </w:tcPr>
          <w:p w14:paraId="4B6D4A5F" w14:textId="77777777" w:rsidR="006A7A11" w:rsidRPr="00FE3DE5" w:rsidRDefault="006A7A11" w:rsidP="004044D0"/>
        </w:tc>
        <w:tc>
          <w:tcPr>
            <w:tcW w:w="3402" w:type="dxa"/>
            <w:tcBorders>
              <w:top w:val="single" w:sz="4" w:space="0" w:color="auto"/>
            </w:tcBorders>
          </w:tcPr>
          <w:p w14:paraId="3ACB0577" w14:textId="77777777" w:rsidR="006A7A11" w:rsidRPr="00FE3DE5" w:rsidRDefault="006A7A11" w:rsidP="004044D0">
            <w:r w:rsidRPr="00FE3DE5">
              <w:t>Signature</w:t>
            </w:r>
          </w:p>
        </w:tc>
      </w:tr>
    </w:tbl>
    <w:p w14:paraId="47D46067" w14:textId="77777777" w:rsidR="009D529B" w:rsidRPr="008B7C99" w:rsidRDefault="00F705A9" w:rsidP="001F0A4F">
      <w:r w:rsidRPr="008B7C99">
        <w:br w:type="page"/>
      </w:r>
      <w:r w:rsidR="00C66548">
        <w:rPr>
          <w:b/>
        </w:rPr>
        <w:lastRenderedPageBreak/>
        <w:t>TERMS OF THIS AGREEMENT</w:t>
      </w:r>
    </w:p>
    <w:p w14:paraId="398338D8" w14:textId="77777777" w:rsidR="002078E3" w:rsidRPr="001F0A4F" w:rsidRDefault="00F705A9" w:rsidP="00577A00">
      <w:pPr>
        <w:pStyle w:val="OutlinenumberedLevel1"/>
        <w:numPr>
          <w:ilvl w:val="0"/>
          <w:numId w:val="6"/>
        </w:numPr>
      </w:pPr>
      <w:r w:rsidRPr="001F0A4F">
        <w:t>INTERPRETATION</w:t>
      </w:r>
    </w:p>
    <w:p w14:paraId="7A287FBF" w14:textId="77777777" w:rsidR="00F705A9" w:rsidRPr="001F0A4F" w:rsidRDefault="00F705A9" w:rsidP="006A200A">
      <w:pPr>
        <w:pStyle w:val="OutlinenumberedLevel2"/>
        <w:spacing w:before="0"/>
      </w:pPr>
      <w:r w:rsidRPr="0066228A">
        <w:rPr>
          <w:b/>
        </w:rPr>
        <w:t>Definitions:</w:t>
      </w:r>
      <w:r w:rsidRPr="001F0A4F">
        <w:t xml:space="preserve">  In this Agreement</w:t>
      </w:r>
      <w:r w:rsidR="00D570F0" w:rsidRPr="001F0A4F">
        <w:t xml:space="preserve"> the following words have the following meanings</w:t>
      </w:r>
      <w:r w:rsidRPr="001F0A4F">
        <w:t>:</w:t>
      </w:r>
    </w:p>
    <w:tbl>
      <w:tblPr>
        <w:tblW w:w="0" w:type="auto"/>
        <w:tblInd w:w="675" w:type="dxa"/>
        <w:tblLook w:val="01E0" w:firstRow="1" w:lastRow="1" w:firstColumn="1" w:lastColumn="1" w:noHBand="0" w:noVBand="0"/>
      </w:tblPr>
      <w:tblGrid>
        <w:gridCol w:w="2260"/>
        <w:gridCol w:w="5594"/>
      </w:tblGrid>
      <w:tr w:rsidR="00F705A9" w:rsidRPr="008B7C99" w14:paraId="35F46847" w14:textId="77777777" w:rsidTr="00A4058A">
        <w:tc>
          <w:tcPr>
            <w:tcW w:w="2260" w:type="dxa"/>
            <w:shd w:val="clear" w:color="auto" w:fill="A6A6A6"/>
          </w:tcPr>
          <w:p w14:paraId="7EB9B4F3" w14:textId="77777777" w:rsidR="00F705A9" w:rsidRPr="0066228A" w:rsidRDefault="00F705A9" w:rsidP="007A0C4A">
            <w:pPr>
              <w:rPr>
                <w:rFonts w:ascii="Arial Black" w:hAnsi="Arial Black"/>
                <w:color w:val="C00000"/>
              </w:rPr>
            </w:pPr>
            <w:r w:rsidRPr="0066228A">
              <w:rPr>
                <w:rFonts w:ascii="Arial Black" w:hAnsi="Arial Black"/>
                <w:color w:val="C00000"/>
              </w:rPr>
              <w:t>Definition</w:t>
            </w:r>
          </w:p>
        </w:tc>
        <w:tc>
          <w:tcPr>
            <w:tcW w:w="5594" w:type="dxa"/>
            <w:shd w:val="clear" w:color="auto" w:fill="A6A6A6"/>
          </w:tcPr>
          <w:p w14:paraId="355FC424" w14:textId="77777777" w:rsidR="00F705A9" w:rsidRPr="0066228A" w:rsidRDefault="00F705A9" w:rsidP="007A0C4A">
            <w:pPr>
              <w:rPr>
                <w:rFonts w:ascii="Arial Black" w:hAnsi="Arial Black"/>
                <w:color w:val="C00000"/>
              </w:rPr>
            </w:pPr>
            <w:r w:rsidRPr="0066228A">
              <w:rPr>
                <w:rFonts w:ascii="Arial Black" w:hAnsi="Arial Black"/>
                <w:color w:val="C00000"/>
              </w:rPr>
              <w:t>Meaning</w:t>
            </w:r>
          </w:p>
        </w:tc>
      </w:tr>
      <w:tr w:rsidR="00F705A9" w:rsidRPr="005179B6" w14:paraId="45179579" w14:textId="77777777" w:rsidTr="00A4058A">
        <w:tc>
          <w:tcPr>
            <w:tcW w:w="2260" w:type="dxa"/>
          </w:tcPr>
          <w:p w14:paraId="7C514567" w14:textId="77777777" w:rsidR="00F705A9" w:rsidRPr="005179B6" w:rsidRDefault="00F705A9" w:rsidP="007A0C4A">
            <w:pPr>
              <w:rPr>
                <w:b/>
              </w:rPr>
            </w:pPr>
            <w:r w:rsidRPr="005179B6">
              <w:rPr>
                <w:b/>
              </w:rPr>
              <w:t>Agreement</w:t>
            </w:r>
          </w:p>
        </w:tc>
        <w:tc>
          <w:tcPr>
            <w:tcW w:w="5594" w:type="dxa"/>
          </w:tcPr>
          <w:p w14:paraId="54E089E9" w14:textId="77777777" w:rsidR="00F705A9" w:rsidRPr="005179B6" w:rsidRDefault="00C96A26" w:rsidP="007A0C4A">
            <w:r w:rsidRPr="005179B6">
              <w:t>this a</w:t>
            </w:r>
            <w:r w:rsidR="00F705A9" w:rsidRPr="005179B6">
              <w:t>greement</w:t>
            </w:r>
            <w:r w:rsidR="00D503FE" w:rsidRPr="005179B6">
              <w:t>, including the Schedules</w:t>
            </w:r>
            <w:r w:rsidR="00F705A9" w:rsidRPr="005179B6">
              <w:t>.</w:t>
            </w:r>
          </w:p>
        </w:tc>
      </w:tr>
      <w:tr w:rsidR="00F705A9" w:rsidRPr="005179B6" w14:paraId="43F1EB77" w14:textId="77777777" w:rsidTr="00A4058A">
        <w:tc>
          <w:tcPr>
            <w:tcW w:w="2260" w:type="dxa"/>
          </w:tcPr>
          <w:p w14:paraId="34CE1707" w14:textId="77777777" w:rsidR="00F705A9" w:rsidRPr="005179B6" w:rsidRDefault="00F705A9" w:rsidP="007A0C4A">
            <w:pPr>
              <w:rPr>
                <w:b/>
              </w:rPr>
            </w:pPr>
            <w:r w:rsidRPr="005179B6">
              <w:rPr>
                <w:b/>
              </w:rPr>
              <w:t>Board</w:t>
            </w:r>
          </w:p>
        </w:tc>
        <w:tc>
          <w:tcPr>
            <w:tcW w:w="5594" w:type="dxa"/>
          </w:tcPr>
          <w:p w14:paraId="615639BD" w14:textId="77777777" w:rsidR="00F705A9" w:rsidRPr="005179B6" w:rsidRDefault="009738DD" w:rsidP="007A0C4A">
            <w:r w:rsidRPr="005179B6">
              <w:t>the D</w:t>
            </w:r>
            <w:r w:rsidR="00F705A9" w:rsidRPr="005179B6">
              <w:t xml:space="preserve">irectors </w:t>
            </w:r>
            <w:r w:rsidR="00C96A26" w:rsidRPr="005179B6">
              <w:t>from time to time</w:t>
            </w:r>
            <w:r w:rsidR="009E2502" w:rsidRPr="005179B6">
              <w:t xml:space="preserve"> acting as a board of directors</w:t>
            </w:r>
            <w:r w:rsidR="00F705A9" w:rsidRPr="005179B6">
              <w:t>.</w:t>
            </w:r>
          </w:p>
        </w:tc>
      </w:tr>
      <w:tr w:rsidR="00F705A9" w:rsidRPr="005179B6" w14:paraId="35384E12" w14:textId="77777777" w:rsidTr="00A4058A">
        <w:tc>
          <w:tcPr>
            <w:tcW w:w="2260" w:type="dxa"/>
          </w:tcPr>
          <w:p w14:paraId="32E30BF9" w14:textId="77777777" w:rsidR="00F705A9" w:rsidRPr="005179B6" w:rsidRDefault="00F705A9" w:rsidP="007A0C4A">
            <w:pPr>
              <w:rPr>
                <w:b/>
              </w:rPr>
            </w:pPr>
            <w:r w:rsidRPr="005179B6">
              <w:rPr>
                <w:b/>
              </w:rPr>
              <w:t>Business</w:t>
            </w:r>
          </w:p>
        </w:tc>
        <w:tc>
          <w:tcPr>
            <w:tcW w:w="5594" w:type="dxa"/>
          </w:tcPr>
          <w:p w14:paraId="4B4F1DD5" w14:textId="77777777" w:rsidR="008560EF" w:rsidRPr="005179B6" w:rsidRDefault="00EC29A9" w:rsidP="007A0C4A">
            <w:r w:rsidRPr="005179B6">
              <w:t>[</w:t>
            </w:r>
            <w:r w:rsidRPr="005179B6">
              <w:rPr>
                <w:i/>
              </w:rPr>
              <w:t xml:space="preserve">insert description of the </w:t>
            </w:r>
            <w:r w:rsidR="00F87180">
              <w:rPr>
                <w:i/>
              </w:rPr>
              <w:t xml:space="preserve">business of the </w:t>
            </w:r>
            <w:r w:rsidRPr="005179B6">
              <w:rPr>
                <w:i/>
              </w:rPr>
              <w:t>Company, e.g. the development, commercialisation and sale of [insert a description of the Company’s products]</w:t>
            </w:r>
            <w:r w:rsidRPr="005179B6">
              <w:t>], and any other activities specified in the Business Plan.</w:t>
            </w:r>
          </w:p>
        </w:tc>
      </w:tr>
      <w:tr w:rsidR="00F705A9" w:rsidRPr="005179B6" w14:paraId="6EF1E249" w14:textId="77777777" w:rsidTr="00A4058A">
        <w:tc>
          <w:tcPr>
            <w:tcW w:w="2260" w:type="dxa"/>
          </w:tcPr>
          <w:p w14:paraId="4C17CC46" w14:textId="77777777" w:rsidR="00F705A9" w:rsidRPr="005179B6" w:rsidRDefault="00F705A9" w:rsidP="007A0C4A">
            <w:pPr>
              <w:rPr>
                <w:b/>
              </w:rPr>
            </w:pPr>
            <w:r w:rsidRPr="005179B6">
              <w:rPr>
                <w:b/>
              </w:rPr>
              <w:t>Business Day</w:t>
            </w:r>
          </w:p>
        </w:tc>
        <w:tc>
          <w:tcPr>
            <w:tcW w:w="5594" w:type="dxa"/>
          </w:tcPr>
          <w:p w14:paraId="48047B10" w14:textId="77777777" w:rsidR="00F705A9" w:rsidRPr="005179B6" w:rsidRDefault="00407318" w:rsidP="007A0C4A">
            <w:r w:rsidRPr="005179B6">
              <w:t xml:space="preserve">Monday to Friday, other than any public holiday </w:t>
            </w:r>
            <w:r w:rsidR="006A7A11">
              <w:t xml:space="preserve">that occurs in </w:t>
            </w:r>
            <w:r w:rsidR="00243A75">
              <w:t>[</w:t>
            </w:r>
            <w:r w:rsidR="006A7A11" w:rsidRPr="00243A75">
              <w:rPr>
                <w:i/>
              </w:rPr>
              <w:t>Singapore</w:t>
            </w:r>
            <w:r w:rsidR="00243A75">
              <w:t>]</w:t>
            </w:r>
            <w:r w:rsidR="006A7A11">
              <w:t>.</w:t>
            </w:r>
          </w:p>
        </w:tc>
      </w:tr>
      <w:tr w:rsidR="00F705A9" w:rsidRPr="005179B6" w14:paraId="6AD18B46" w14:textId="77777777" w:rsidTr="00A4058A">
        <w:tc>
          <w:tcPr>
            <w:tcW w:w="2260" w:type="dxa"/>
          </w:tcPr>
          <w:p w14:paraId="508303AE" w14:textId="77777777" w:rsidR="00F705A9" w:rsidRPr="005179B6" w:rsidRDefault="00F705A9" w:rsidP="007A0C4A">
            <w:pPr>
              <w:rPr>
                <w:b/>
              </w:rPr>
            </w:pPr>
            <w:r w:rsidRPr="005179B6">
              <w:rPr>
                <w:b/>
              </w:rPr>
              <w:t>Business Plan</w:t>
            </w:r>
          </w:p>
        </w:tc>
        <w:tc>
          <w:tcPr>
            <w:tcW w:w="5594" w:type="dxa"/>
          </w:tcPr>
          <w:p w14:paraId="4D30F91C" w14:textId="74823552" w:rsidR="00F705A9" w:rsidRPr="00ED39D2" w:rsidRDefault="00542C55" w:rsidP="00866215">
            <w:pPr>
              <w:rPr>
                <w:b/>
              </w:rPr>
            </w:pPr>
            <w:r>
              <w:t>a</w:t>
            </w:r>
            <w:r w:rsidRPr="005179B6">
              <w:t xml:space="preserve"> </w:t>
            </w:r>
            <w:r w:rsidR="00F705A9" w:rsidRPr="005179B6">
              <w:t>budget and business plan for the Company approved by the B</w:t>
            </w:r>
            <w:r w:rsidR="00F95449" w:rsidRPr="005179B6">
              <w:t xml:space="preserve">oard in accordance with clause </w:t>
            </w:r>
            <w:r w:rsidR="00866215">
              <w:fldChar w:fldCharType="begin"/>
            </w:r>
            <w:r w:rsidR="00866215">
              <w:instrText xml:space="preserve"> REF _Ref455235740 \w \h </w:instrText>
            </w:r>
            <w:r w:rsidR="00866215">
              <w:fldChar w:fldCharType="separate"/>
            </w:r>
            <w:r w:rsidR="007E5370">
              <w:t>5</w:t>
            </w:r>
            <w:r w:rsidR="00866215">
              <w:fldChar w:fldCharType="end"/>
            </w:r>
            <w:r w:rsidR="00FF78FE">
              <w:t xml:space="preserve">. </w:t>
            </w:r>
            <w:r w:rsidR="00DA429F" w:rsidRPr="005179B6">
              <w:rPr>
                <w:b/>
              </w:rPr>
              <w:t xml:space="preserve"> </w:t>
            </w:r>
          </w:p>
        </w:tc>
      </w:tr>
      <w:tr w:rsidR="008C59F5" w:rsidRPr="005179B6" w14:paraId="5661E44F" w14:textId="77777777" w:rsidTr="00A4058A">
        <w:tc>
          <w:tcPr>
            <w:tcW w:w="2260" w:type="dxa"/>
          </w:tcPr>
          <w:p w14:paraId="03D8F00C" w14:textId="77777777" w:rsidR="008C59F5" w:rsidRPr="005179B6" w:rsidRDefault="008C59F5" w:rsidP="007A0C4A">
            <w:pPr>
              <w:rPr>
                <w:b/>
              </w:rPr>
            </w:pPr>
            <w:r>
              <w:rPr>
                <w:b/>
              </w:rPr>
              <w:t xml:space="preserve">Companies </w:t>
            </w:r>
            <w:r w:rsidRPr="005179B6">
              <w:rPr>
                <w:b/>
              </w:rPr>
              <w:t>Act</w:t>
            </w:r>
          </w:p>
        </w:tc>
        <w:tc>
          <w:tcPr>
            <w:tcW w:w="5594" w:type="dxa"/>
          </w:tcPr>
          <w:p w14:paraId="347DBA53" w14:textId="77777777" w:rsidR="008C59F5" w:rsidRPr="005179B6" w:rsidRDefault="00FA34ED" w:rsidP="007A0C4A">
            <w:r>
              <w:t>[</w:t>
            </w:r>
            <w:r w:rsidR="008C59F5" w:rsidRPr="00FA34ED">
              <w:rPr>
                <w:i/>
              </w:rPr>
              <w:t>the Companies Act Cap. 50 of Singapore</w:t>
            </w:r>
            <w:r>
              <w:t>]</w:t>
            </w:r>
            <w:r w:rsidR="008C59F5" w:rsidRPr="005179B6">
              <w:t>.</w:t>
            </w:r>
          </w:p>
        </w:tc>
      </w:tr>
      <w:tr w:rsidR="008C59F5" w:rsidRPr="005179B6" w14:paraId="2265BE12" w14:textId="77777777" w:rsidTr="00A4058A">
        <w:tc>
          <w:tcPr>
            <w:tcW w:w="2260" w:type="dxa"/>
          </w:tcPr>
          <w:p w14:paraId="04808298" w14:textId="77777777" w:rsidR="008C59F5" w:rsidRPr="005179B6" w:rsidRDefault="008C59F5" w:rsidP="007A0C4A">
            <w:pPr>
              <w:rPr>
                <w:b/>
              </w:rPr>
            </w:pPr>
            <w:r>
              <w:rPr>
                <w:b/>
              </w:rPr>
              <w:t>Constitution</w:t>
            </w:r>
          </w:p>
        </w:tc>
        <w:tc>
          <w:tcPr>
            <w:tcW w:w="5594" w:type="dxa"/>
          </w:tcPr>
          <w:p w14:paraId="511EB72B" w14:textId="79297461" w:rsidR="008C59F5" w:rsidRPr="005179B6" w:rsidRDefault="008C59F5" w:rsidP="007A0C4A">
            <w:r>
              <w:t>the constitution of the Company (as amended from time to time).</w:t>
            </w:r>
          </w:p>
        </w:tc>
      </w:tr>
      <w:tr w:rsidR="008C59F5" w:rsidRPr="005179B6" w14:paraId="2F153532" w14:textId="77777777" w:rsidTr="00A4058A">
        <w:tc>
          <w:tcPr>
            <w:tcW w:w="2260" w:type="dxa"/>
          </w:tcPr>
          <w:p w14:paraId="34397D06" w14:textId="77777777" w:rsidR="008C59F5" w:rsidRPr="005179B6" w:rsidRDefault="008C59F5" w:rsidP="007A0C4A">
            <w:pPr>
              <w:rPr>
                <w:b/>
              </w:rPr>
            </w:pPr>
            <w:r w:rsidRPr="005179B6">
              <w:rPr>
                <w:b/>
              </w:rPr>
              <w:t>Deed of Accession</w:t>
            </w:r>
          </w:p>
        </w:tc>
        <w:tc>
          <w:tcPr>
            <w:tcW w:w="5594" w:type="dxa"/>
          </w:tcPr>
          <w:p w14:paraId="1C7E29C5" w14:textId="0ACC8515" w:rsidR="008C59F5" w:rsidRPr="005179B6" w:rsidRDefault="008C59F5" w:rsidP="00866215">
            <w:r w:rsidRPr="005179B6">
              <w:t xml:space="preserve">a deed of accession to be entered into by each person becoming a shareholder of the Company in accordance with clause </w:t>
            </w:r>
            <w:r w:rsidR="00866215">
              <w:fldChar w:fldCharType="begin"/>
            </w:r>
            <w:r w:rsidR="00866215">
              <w:instrText xml:space="preserve"> REF _Ref455235753 \w \h </w:instrText>
            </w:r>
            <w:r w:rsidR="00866215">
              <w:fldChar w:fldCharType="separate"/>
            </w:r>
            <w:r w:rsidR="007E5370">
              <w:t>7.1c</w:t>
            </w:r>
            <w:r w:rsidR="00866215">
              <w:fldChar w:fldCharType="end"/>
            </w:r>
            <w:r>
              <w:t xml:space="preserve"> or </w:t>
            </w:r>
            <w:r w:rsidR="00866215">
              <w:fldChar w:fldCharType="begin"/>
            </w:r>
            <w:r w:rsidR="00866215">
              <w:instrText xml:space="preserve"> REF _Ref455235760 \w \h </w:instrText>
            </w:r>
            <w:r w:rsidR="00866215">
              <w:fldChar w:fldCharType="separate"/>
            </w:r>
            <w:r w:rsidR="007E5370">
              <w:t>8.5</w:t>
            </w:r>
            <w:r w:rsidR="00866215">
              <w:fldChar w:fldCharType="end"/>
            </w:r>
            <w:r w:rsidRPr="005179B6">
              <w:t xml:space="preserve">, in the form attached as Schedule </w:t>
            </w:r>
            <w:r w:rsidR="00A63B98">
              <w:t>2</w:t>
            </w:r>
            <w:r w:rsidRPr="005179B6">
              <w:t>.</w:t>
            </w:r>
          </w:p>
        </w:tc>
      </w:tr>
      <w:tr w:rsidR="008C59F5" w:rsidRPr="005179B6" w14:paraId="033D3879" w14:textId="77777777" w:rsidTr="00A4058A">
        <w:tc>
          <w:tcPr>
            <w:tcW w:w="2260" w:type="dxa"/>
          </w:tcPr>
          <w:p w14:paraId="5BA695B4" w14:textId="77777777" w:rsidR="008C59F5" w:rsidRPr="005179B6" w:rsidRDefault="008C59F5" w:rsidP="007A0C4A">
            <w:pPr>
              <w:rPr>
                <w:b/>
              </w:rPr>
            </w:pPr>
            <w:r w:rsidRPr="005179B6">
              <w:rPr>
                <w:b/>
              </w:rPr>
              <w:t>Director</w:t>
            </w:r>
          </w:p>
        </w:tc>
        <w:tc>
          <w:tcPr>
            <w:tcW w:w="5594" w:type="dxa"/>
          </w:tcPr>
          <w:p w14:paraId="20CA12BA" w14:textId="77777777" w:rsidR="008C59F5" w:rsidRPr="005179B6" w:rsidRDefault="008C59F5" w:rsidP="007A0C4A">
            <w:r w:rsidRPr="005179B6">
              <w:t>a director of the Company.</w:t>
            </w:r>
          </w:p>
        </w:tc>
      </w:tr>
      <w:tr w:rsidR="008C59F5" w:rsidRPr="005179B6" w14:paraId="5D0EEE0C" w14:textId="77777777" w:rsidTr="00A4058A">
        <w:tc>
          <w:tcPr>
            <w:tcW w:w="2260" w:type="dxa"/>
          </w:tcPr>
          <w:p w14:paraId="5EAC37B2" w14:textId="77777777" w:rsidR="008C59F5" w:rsidRPr="005179B6" w:rsidRDefault="008C59F5" w:rsidP="007A0C4A">
            <w:pPr>
              <w:rPr>
                <w:b/>
              </w:rPr>
            </w:pPr>
            <w:r>
              <w:rPr>
                <w:b/>
              </w:rPr>
              <w:t>ESOP</w:t>
            </w:r>
          </w:p>
        </w:tc>
        <w:tc>
          <w:tcPr>
            <w:tcW w:w="5594" w:type="dxa"/>
          </w:tcPr>
          <w:p w14:paraId="0FE19B49" w14:textId="77777777" w:rsidR="008C59F5" w:rsidRPr="005179B6" w:rsidRDefault="00F87180" w:rsidP="007A0C4A">
            <w:r>
              <w:t xml:space="preserve">an </w:t>
            </w:r>
            <w:r w:rsidR="00934320">
              <w:t>employee share</w:t>
            </w:r>
            <w:r>
              <w:t xml:space="preserve"> or </w:t>
            </w:r>
            <w:r w:rsidR="008C59F5">
              <w:t>option plan</w:t>
            </w:r>
            <w:r>
              <w:t>, or similar adopted by the Company</w:t>
            </w:r>
            <w:r w:rsidR="008C59F5">
              <w:t>.</w:t>
            </w:r>
          </w:p>
        </w:tc>
      </w:tr>
      <w:tr w:rsidR="008C59F5" w:rsidRPr="005179B6" w14:paraId="37CF8533" w14:textId="77777777" w:rsidTr="00A4058A">
        <w:tc>
          <w:tcPr>
            <w:tcW w:w="2260" w:type="dxa"/>
          </w:tcPr>
          <w:p w14:paraId="20CF3AD9" w14:textId="77777777" w:rsidR="008C59F5" w:rsidRPr="005179B6" w:rsidRDefault="008C59F5" w:rsidP="007A0C4A">
            <w:pPr>
              <w:rPr>
                <w:b/>
              </w:rPr>
            </w:pPr>
            <w:r>
              <w:rPr>
                <w:b/>
              </w:rPr>
              <w:t>[</w:t>
            </w:r>
            <w:r>
              <w:rPr>
                <w:b/>
                <w:i/>
              </w:rPr>
              <w:t>Investor</w:t>
            </w:r>
            <w:r w:rsidR="00427F36">
              <w:rPr>
                <w:b/>
                <w:i/>
              </w:rPr>
              <w:t xml:space="preserve"> Director</w:t>
            </w:r>
          </w:p>
        </w:tc>
        <w:tc>
          <w:tcPr>
            <w:tcW w:w="5594" w:type="dxa"/>
          </w:tcPr>
          <w:p w14:paraId="49114D4E" w14:textId="7D8C0DF4" w:rsidR="008C59F5" w:rsidRPr="005179B6" w:rsidRDefault="008C59F5" w:rsidP="00866215">
            <w:r>
              <w:rPr>
                <w:i/>
              </w:rPr>
              <w:t>the Director</w:t>
            </w:r>
            <w:r w:rsidR="00427F36">
              <w:rPr>
                <w:i/>
              </w:rPr>
              <w:t xml:space="preserve"> appointed under clause </w:t>
            </w:r>
            <w:r w:rsidR="00866215">
              <w:rPr>
                <w:i/>
              </w:rPr>
              <w:fldChar w:fldCharType="begin"/>
            </w:r>
            <w:r w:rsidR="00866215">
              <w:rPr>
                <w:i/>
              </w:rPr>
              <w:instrText xml:space="preserve"> REF _Ref455235777 \w \h </w:instrText>
            </w:r>
            <w:r w:rsidR="00866215">
              <w:rPr>
                <w:i/>
              </w:rPr>
            </w:r>
            <w:r w:rsidR="00866215">
              <w:rPr>
                <w:i/>
              </w:rPr>
              <w:fldChar w:fldCharType="separate"/>
            </w:r>
            <w:r w:rsidR="007E5370">
              <w:rPr>
                <w:i/>
              </w:rPr>
              <w:t>4.1b</w:t>
            </w:r>
            <w:r w:rsidR="00866215">
              <w:rPr>
                <w:i/>
              </w:rPr>
              <w:fldChar w:fldCharType="end"/>
            </w:r>
            <w:r w:rsidR="00F87180">
              <w:rPr>
                <w:i/>
              </w:rPr>
              <w:t>.</w:t>
            </w:r>
            <w:r w:rsidR="00427F36" w:rsidRPr="00D145D3">
              <w:t>]</w:t>
            </w:r>
          </w:p>
        </w:tc>
      </w:tr>
      <w:tr w:rsidR="008C59F5" w:rsidRPr="008B7C99" w14:paraId="1ED968F5" w14:textId="77777777" w:rsidTr="00A4058A">
        <w:tc>
          <w:tcPr>
            <w:tcW w:w="2260" w:type="dxa"/>
          </w:tcPr>
          <w:p w14:paraId="2F35C387" w14:textId="77777777" w:rsidR="008C59F5" w:rsidRPr="0066228A" w:rsidRDefault="008C59F5" w:rsidP="007A0C4A">
            <w:pPr>
              <w:rPr>
                <w:b/>
              </w:rPr>
            </w:pPr>
            <w:r w:rsidRPr="0066228A">
              <w:rPr>
                <w:b/>
              </w:rPr>
              <w:t>Securities</w:t>
            </w:r>
          </w:p>
        </w:tc>
        <w:tc>
          <w:tcPr>
            <w:tcW w:w="5594" w:type="dxa"/>
          </w:tcPr>
          <w:p w14:paraId="3C9AEF41" w14:textId="77777777" w:rsidR="008C59F5" w:rsidRPr="001F0A4F" w:rsidRDefault="008C59F5" w:rsidP="007A0C4A">
            <w:r w:rsidRPr="001F0A4F">
              <w:t>any Share and any security that may be converted into Shares or that gives the holder of the security the right to have Shares issued to it (including options and warrants).</w:t>
            </w:r>
          </w:p>
        </w:tc>
      </w:tr>
      <w:tr w:rsidR="008C59F5" w:rsidRPr="008B7C99" w14:paraId="373CABD0" w14:textId="77777777" w:rsidTr="00A4058A">
        <w:tc>
          <w:tcPr>
            <w:tcW w:w="2260" w:type="dxa"/>
          </w:tcPr>
          <w:p w14:paraId="159C3867" w14:textId="77777777" w:rsidR="008C59F5" w:rsidRPr="0066228A" w:rsidRDefault="008C59F5" w:rsidP="007A0C4A">
            <w:pPr>
              <w:rPr>
                <w:b/>
              </w:rPr>
            </w:pPr>
            <w:r w:rsidRPr="0066228A">
              <w:rPr>
                <w:b/>
              </w:rPr>
              <w:t>Shareholder</w:t>
            </w:r>
          </w:p>
        </w:tc>
        <w:tc>
          <w:tcPr>
            <w:tcW w:w="5594" w:type="dxa"/>
          </w:tcPr>
          <w:p w14:paraId="252C8024" w14:textId="77777777" w:rsidR="008C59F5" w:rsidRPr="001F0A4F" w:rsidRDefault="008C59F5" w:rsidP="007A0C4A">
            <w:r w:rsidRPr="001F0A4F">
              <w:t>a shareholder of the Company.</w:t>
            </w:r>
          </w:p>
        </w:tc>
      </w:tr>
      <w:tr w:rsidR="008C59F5" w:rsidRPr="008B7C99" w14:paraId="7631AA7B" w14:textId="77777777" w:rsidTr="00A4058A">
        <w:tc>
          <w:tcPr>
            <w:tcW w:w="2260" w:type="dxa"/>
          </w:tcPr>
          <w:p w14:paraId="2D981006" w14:textId="77777777" w:rsidR="008C59F5" w:rsidRPr="0066228A" w:rsidRDefault="008C59F5" w:rsidP="007A0C4A">
            <w:pPr>
              <w:rPr>
                <w:b/>
              </w:rPr>
            </w:pPr>
            <w:r w:rsidRPr="0066228A">
              <w:rPr>
                <w:b/>
              </w:rPr>
              <w:t>Shares</w:t>
            </w:r>
          </w:p>
        </w:tc>
        <w:tc>
          <w:tcPr>
            <w:tcW w:w="5594" w:type="dxa"/>
          </w:tcPr>
          <w:p w14:paraId="3DAB7844" w14:textId="77777777" w:rsidR="008C59F5" w:rsidRPr="001F0A4F" w:rsidRDefault="008C59F5" w:rsidP="007A0C4A">
            <w:r w:rsidRPr="001F0A4F">
              <w:t>ordinary shares in the Company and any other shares in the Company carrying Voting Rights.</w:t>
            </w:r>
          </w:p>
        </w:tc>
      </w:tr>
      <w:tr w:rsidR="005317F5" w:rsidRPr="008B7C99" w14:paraId="1D8F8834" w14:textId="77777777" w:rsidTr="00A4058A">
        <w:tc>
          <w:tcPr>
            <w:tcW w:w="2260" w:type="dxa"/>
          </w:tcPr>
          <w:p w14:paraId="16C5F4D2" w14:textId="6B9A47D9" w:rsidR="005317F5" w:rsidRPr="0066228A" w:rsidRDefault="005317F5" w:rsidP="005317F5">
            <w:pPr>
              <w:rPr>
                <w:b/>
              </w:rPr>
            </w:pPr>
            <w:r>
              <w:rPr>
                <w:b/>
              </w:rPr>
              <w:lastRenderedPageBreak/>
              <w:t>Subsidiary</w:t>
            </w:r>
          </w:p>
        </w:tc>
        <w:tc>
          <w:tcPr>
            <w:tcW w:w="5594" w:type="dxa"/>
          </w:tcPr>
          <w:p w14:paraId="0B24A8E4" w14:textId="77777777" w:rsidR="005317F5" w:rsidRPr="00CA3ECA" w:rsidRDefault="005317F5" w:rsidP="005317F5">
            <w:r w:rsidRPr="00CA3ECA">
              <w:t>a body corporate is a subsidiary of another body corporate if that other body corporate is a holding company of it, and</w:t>
            </w:r>
          </w:p>
          <w:p w14:paraId="19AC3271" w14:textId="4976819B" w:rsidR="005317F5" w:rsidRDefault="005317F5" w:rsidP="005317F5">
            <w:pPr>
              <w:pStyle w:val="ListParagraph"/>
              <w:numPr>
                <w:ilvl w:val="0"/>
                <w:numId w:val="31"/>
              </w:numPr>
              <w:tabs>
                <w:tab w:val="clear" w:pos="567"/>
                <w:tab w:val="left" w:pos="604"/>
              </w:tabs>
              <w:ind w:left="604" w:hanging="567"/>
              <w:contextualSpacing w:val="0"/>
            </w:pPr>
            <w:r w:rsidRPr="00CA3ECA">
              <w:t>it has power to appoint or remove all, or a majority, of that other body corporate’s directors without any other person’s consent;</w:t>
            </w:r>
          </w:p>
          <w:p w14:paraId="73A2068B" w14:textId="2C829FC6" w:rsidR="005317F5" w:rsidRDefault="005317F5" w:rsidP="005317F5">
            <w:pPr>
              <w:pStyle w:val="ListParagraph"/>
              <w:numPr>
                <w:ilvl w:val="0"/>
                <w:numId w:val="31"/>
              </w:numPr>
              <w:tabs>
                <w:tab w:val="clear" w:pos="567"/>
                <w:tab w:val="left" w:pos="604"/>
              </w:tabs>
              <w:ind w:left="604" w:hanging="567"/>
              <w:contextualSpacing w:val="0"/>
            </w:pPr>
            <w:r w:rsidRPr="00CA3ECA">
              <w:t>it controls more than half of the voting rights in that other   body corporate; or</w:t>
            </w:r>
          </w:p>
          <w:p w14:paraId="63376979" w14:textId="77777777" w:rsidR="005317F5" w:rsidRDefault="005317F5" w:rsidP="005317F5">
            <w:pPr>
              <w:pStyle w:val="ListParagraph"/>
              <w:numPr>
                <w:ilvl w:val="0"/>
                <w:numId w:val="31"/>
              </w:numPr>
              <w:tabs>
                <w:tab w:val="clear" w:pos="567"/>
                <w:tab w:val="left" w:pos="604"/>
              </w:tabs>
              <w:ind w:left="604" w:hanging="567"/>
              <w:contextualSpacing w:val="0"/>
            </w:pPr>
            <w:r w:rsidRPr="00CA3ECA">
              <w:t xml:space="preserve">it holds more than half of that other body corporate’s issued share capital, excluding any part of the share capital that carries no right to participate beyond a specified amount in a distribution of profits or capital, </w:t>
            </w:r>
          </w:p>
          <w:p w14:paraId="434DDFCD" w14:textId="06A26C10" w:rsidR="005317F5" w:rsidRPr="001F0A4F" w:rsidRDefault="005317F5" w:rsidP="005317F5">
            <w:pPr>
              <w:ind w:left="37"/>
            </w:pPr>
            <w:r w:rsidRPr="00CA3ECA">
              <w:t>and</w:t>
            </w:r>
            <w:r>
              <w:t xml:space="preserve"> </w:t>
            </w:r>
            <w:r w:rsidRPr="00CA3ECA">
              <w:t>a holding company is considered a holding company whether it directly or through another body corporate of which it is also a holding company, holds another body corporate</w:t>
            </w:r>
            <w:r>
              <w:t xml:space="preserve">.  </w:t>
            </w:r>
            <w:r w:rsidRPr="00CA3ECA">
              <w:t xml:space="preserve"> </w:t>
            </w:r>
          </w:p>
        </w:tc>
      </w:tr>
      <w:tr w:rsidR="005317F5" w:rsidRPr="008B7C99" w14:paraId="464C35CF" w14:textId="77777777" w:rsidTr="00A4058A">
        <w:tc>
          <w:tcPr>
            <w:tcW w:w="2260" w:type="dxa"/>
          </w:tcPr>
          <w:p w14:paraId="6A663275" w14:textId="77777777" w:rsidR="005317F5" w:rsidRPr="0066228A" w:rsidRDefault="005317F5" w:rsidP="005317F5">
            <w:pPr>
              <w:rPr>
                <w:b/>
              </w:rPr>
            </w:pPr>
            <w:r w:rsidRPr="0066228A">
              <w:rPr>
                <w:b/>
              </w:rPr>
              <w:t>Voting Rights</w:t>
            </w:r>
          </w:p>
        </w:tc>
        <w:tc>
          <w:tcPr>
            <w:tcW w:w="5594" w:type="dxa"/>
          </w:tcPr>
          <w:p w14:paraId="6DAAA36B" w14:textId="77777777" w:rsidR="005317F5" w:rsidRPr="001F0A4F" w:rsidRDefault="005317F5" w:rsidP="005317F5">
            <w:r w:rsidRPr="001F0A4F">
              <w:t>rights to vote at a meeting of shareholders of the Company (other than rights to vote only on the appointment of an administrator, on a resolution for the winding up of the Company, or on similar financial distress events).</w:t>
            </w:r>
          </w:p>
        </w:tc>
      </w:tr>
    </w:tbl>
    <w:p w14:paraId="74B91C70" w14:textId="77777777" w:rsidR="00BF31EE" w:rsidRPr="0066228A" w:rsidRDefault="007C510E" w:rsidP="007A0C4A">
      <w:pPr>
        <w:pStyle w:val="OutlinenumberedLevel2"/>
        <w:keepNext/>
        <w:spacing w:before="0"/>
        <w:rPr>
          <w:b/>
        </w:rPr>
      </w:pPr>
      <w:r w:rsidRPr="0066228A">
        <w:rPr>
          <w:b/>
        </w:rPr>
        <w:t>Interpretation:</w:t>
      </w:r>
    </w:p>
    <w:p w14:paraId="7C84F782" w14:textId="77777777" w:rsidR="00BF31EE" w:rsidRPr="001F0A4F" w:rsidRDefault="00E54684" w:rsidP="007A0C4A">
      <w:pPr>
        <w:pStyle w:val="OutlinenumberedLevel3"/>
        <w:keepNext/>
        <w:spacing w:before="0"/>
      </w:pPr>
      <w:r w:rsidRPr="001F0A4F">
        <w:t>a reference</w:t>
      </w:r>
      <w:r w:rsidR="00BF31EE" w:rsidRPr="001F0A4F">
        <w:t xml:space="preserve"> to:</w:t>
      </w:r>
    </w:p>
    <w:p w14:paraId="14183C20" w14:textId="77777777" w:rsidR="00BF31EE" w:rsidRPr="00243A75" w:rsidRDefault="00BF31EE" w:rsidP="007A0C4A">
      <w:pPr>
        <w:pStyle w:val="OutlinenumberedLevel4"/>
        <w:spacing w:before="0"/>
      </w:pPr>
      <w:r w:rsidRPr="00243A75">
        <w:t xml:space="preserve">a </w:t>
      </w:r>
      <w:r w:rsidRPr="00243A75">
        <w:rPr>
          <w:b/>
        </w:rPr>
        <w:t>clause</w:t>
      </w:r>
      <w:r w:rsidRPr="00243A75">
        <w:t xml:space="preserve"> or a </w:t>
      </w:r>
      <w:r w:rsidR="0063219F" w:rsidRPr="00243A75">
        <w:rPr>
          <w:b/>
        </w:rPr>
        <w:t>S</w:t>
      </w:r>
      <w:r w:rsidRPr="00243A75">
        <w:rPr>
          <w:b/>
        </w:rPr>
        <w:t>chedule</w:t>
      </w:r>
      <w:r w:rsidRPr="00243A75">
        <w:t xml:space="preserve"> is to a clause in or a schedule to this Agreement;</w:t>
      </w:r>
    </w:p>
    <w:p w14:paraId="00C761E2" w14:textId="77777777" w:rsidR="00243A75" w:rsidRPr="00243A75" w:rsidRDefault="00243A75" w:rsidP="007A0C4A">
      <w:pPr>
        <w:pStyle w:val="OutlinenumberedLevel4"/>
        <w:spacing w:before="0"/>
      </w:pPr>
      <w:r w:rsidRPr="00243A75">
        <w:t xml:space="preserve">a </w:t>
      </w:r>
      <w:r w:rsidRPr="00243A75">
        <w:rPr>
          <w:b/>
        </w:rPr>
        <w:t>paragraph</w:t>
      </w:r>
      <w:r w:rsidRPr="00243A75">
        <w:t xml:space="preserve"> is a reference to a paragraph of a schedule to this Agreement;</w:t>
      </w:r>
    </w:p>
    <w:p w14:paraId="7C02CECC" w14:textId="77777777" w:rsidR="00BF31EE" w:rsidRPr="001F0A4F" w:rsidRDefault="00BF31EE" w:rsidP="007A0C4A">
      <w:pPr>
        <w:pStyle w:val="OutlinenumberedLevel4"/>
        <w:spacing w:before="0"/>
      </w:pPr>
      <w:r w:rsidRPr="00243A75">
        <w:t xml:space="preserve">a </w:t>
      </w:r>
      <w:r w:rsidRPr="00243A75">
        <w:rPr>
          <w:b/>
        </w:rPr>
        <w:t>person</w:t>
      </w:r>
      <w:r w:rsidRPr="00243A75">
        <w:t xml:space="preserve"> includes </w:t>
      </w:r>
      <w:r w:rsidR="00D570F0" w:rsidRPr="00243A75">
        <w:t xml:space="preserve">a body </w:t>
      </w:r>
      <w:r w:rsidRPr="00243A75">
        <w:t xml:space="preserve">corporate, </w:t>
      </w:r>
      <w:r w:rsidR="00E54684" w:rsidRPr="00243A75">
        <w:t>an association of persons (whether corporate or</w:t>
      </w:r>
      <w:r w:rsidR="00E54684" w:rsidRPr="001F0A4F">
        <w:t xml:space="preserve"> not), a trust,</w:t>
      </w:r>
      <w:r w:rsidR="0084546A" w:rsidRPr="001F0A4F">
        <w:t xml:space="preserve"> governmental or other regulatory body, authority or entity,</w:t>
      </w:r>
      <w:r w:rsidR="00E54684" w:rsidRPr="001F0A4F">
        <w:t xml:space="preserve"> in each case whether or not having a separate legal personality;</w:t>
      </w:r>
    </w:p>
    <w:p w14:paraId="12C4750E" w14:textId="77777777" w:rsidR="00BF31EE" w:rsidRPr="001F0A4F" w:rsidRDefault="00BF31EE" w:rsidP="007A0C4A">
      <w:pPr>
        <w:pStyle w:val="OutlinenumberedLevel4"/>
        <w:spacing w:before="0"/>
      </w:pPr>
      <w:r w:rsidRPr="0063219F">
        <w:rPr>
          <w:b/>
        </w:rPr>
        <w:t>including</w:t>
      </w:r>
      <w:r w:rsidRPr="001F0A4F">
        <w:t xml:space="preserve"> and similar words do not imply any limitation;</w:t>
      </w:r>
    </w:p>
    <w:p w14:paraId="15CB4C5E" w14:textId="77777777" w:rsidR="00E54684" w:rsidRPr="001F0A4F" w:rsidRDefault="00BF31EE" w:rsidP="007A0C4A">
      <w:pPr>
        <w:pStyle w:val="OutlinenumberedLevel4"/>
        <w:spacing w:before="0"/>
      </w:pPr>
      <w:r w:rsidRPr="001F0A4F">
        <w:t xml:space="preserve">a </w:t>
      </w:r>
      <w:r w:rsidRPr="0063219F">
        <w:rPr>
          <w:b/>
        </w:rPr>
        <w:t>statute</w:t>
      </w:r>
      <w:r w:rsidRPr="001F0A4F">
        <w:t xml:space="preserve"> includes references to that statute as amended</w:t>
      </w:r>
      <w:r w:rsidR="0084546A" w:rsidRPr="001F0A4F">
        <w:t xml:space="preserve"> or replaced from time to time;</w:t>
      </w:r>
    </w:p>
    <w:p w14:paraId="333D610E" w14:textId="77777777" w:rsidR="00BF31EE" w:rsidRPr="001F0A4F" w:rsidRDefault="00E54684" w:rsidP="007A0C4A">
      <w:pPr>
        <w:pStyle w:val="OutlinenumberedLevel4"/>
        <w:spacing w:before="0"/>
      </w:pPr>
      <w:r w:rsidRPr="001F0A4F">
        <w:t xml:space="preserve">a </w:t>
      </w:r>
      <w:r w:rsidRPr="0063219F">
        <w:rPr>
          <w:b/>
        </w:rPr>
        <w:t>party</w:t>
      </w:r>
      <w:r w:rsidRPr="001F0A4F">
        <w:t xml:space="preserve"> is a reference to a party to this Agreement, and includes that party’s permitted assigns; </w:t>
      </w:r>
      <w:r w:rsidR="00BF31EE" w:rsidRPr="001F0A4F">
        <w:t>and</w:t>
      </w:r>
    </w:p>
    <w:p w14:paraId="54C124AF" w14:textId="77777777" w:rsidR="00BF31EE" w:rsidRPr="001F0A4F" w:rsidRDefault="00BF31EE" w:rsidP="007A0C4A">
      <w:pPr>
        <w:pStyle w:val="OutlinenumberedLevel4"/>
        <w:spacing w:before="0"/>
      </w:pPr>
      <w:r w:rsidRPr="0063219F">
        <w:rPr>
          <w:b/>
        </w:rPr>
        <w:t>$</w:t>
      </w:r>
      <w:r w:rsidR="00E54684" w:rsidRPr="001F0A4F">
        <w:t xml:space="preserve"> or </w:t>
      </w:r>
      <w:r w:rsidRPr="0063219F">
        <w:rPr>
          <w:b/>
        </w:rPr>
        <w:t>dollars</w:t>
      </w:r>
      <w:r w:rsidRPr="001F0A4F">
        <w:t xml:space="preserve"> are to </w:t>
      </w:r>
      <w:r w:rsidR="00243A75">
        <w:t>[</w:t>
      </w:r>
      <w:r w:rsidR="00D72EEF" w:rsidRPr="00243A75">
        <w:rPr>
          <w:i/>
        </w:rPr>
        <w:t>Singapore</w:t>
      </w:r>
      <w:r w:rsidR="00243A75">
        <w:t>]</w:t>
      </w:r>
      <w:r w:rsidRPr="001F0A4F">
        <w:t xml:space="preserve"> currency;</w:t>
      </w:r>
    </w:p>
    <w:p w14:paraId="10A93C2C" w14:textId="77777777" w:rsidR="00BF31EE" w:rsidRPr="001F0A4F" w:rsidRDefault="00BF31EE" w:rsidP="007A0C4A">
      <w:pPr>
        <w:pStyle w:val="OutlinenumberedLevel3"/>
        <w:spacing w:before="0"/>
      </w:pPr>
      <w:r w:rsidRPr="001F0A4F">
        <w:t xml:space="preserve">the </w:t>
      </w:r>
      <w:r w:rsidRPr="00EC407F">
        <w:rPr>
          <w:b/>
        </w:rPr>
        <w:t>headings</w:t>
      </w:r>
      <w:r w:rsidRPr="001F0A4F">
        <w:t xml:space="preserve"> in this Agreement are for convenience only and have no legal effect;</w:t>
      </w:r>
      <w:r w:rsidR="00E54684" w:rsidRPr="001F0A4F">
        <w:t xml:space="preserve"> and</w:t>
      </w:r>
    </w:p>
    <w:p w14:paraId="47761B5B" w14:textId="77777777" w:rsidR="00BF31EE" w:rsidRPr="001F0A4F" w:rsidRDefault="00BF31EE" w:rsidP="007A0C4A">
      <w:pPr>
        <w:pStyle w:val="OutlinenumberedLevel3"/>
        <w:spacing w:before="0"/>
      </w:pPr>
      <w:r w:rsidRPr="001F0A4F">
        <w:lastRenderedPageBreak/>
        <w:t xml:space="preserve">the </w:t>
      </w:r>
      <w:r w:rsidRPr="00EC407F">
        <w:rPr>
          <w:b/>
        </w:rPr>
        <w:t>singular</w:t>
      </w:r>
      <w:r w:rsidRPr="001F0A4F">
        <w:t xml:space="preserve"> inc</w:t>
      </w:r>
      <w:r w:rsidR="00E54684" w:rsidRPr="001F0A4F">
        <w:t>ludes the plural and vice versa.</w:t>
      </w:r>
    </w:p>
    <w:p w14:paraId="190454D1" w14:textId="77777777" w:rsidR="00C20463" w:rsidRPr="001F0A4F" w:rsidRDefault="00004147" w:rsidP="007A0C4A">
      <w:pPr>
        <w:pStyle w:val="OutlinenumberedLevel1"/>
        <w:spacing w:before="0"/>
      </w:pPr>
      <w:r w:rsidRPr="001F0A4F">
        <w:t>TERM</w:t>
      </w:r>
    </w:p>
    <w:p w14:paraId="563698D6" w14:textId="0234DFC5" w:rsidR="00CC626A" w:rsidRPr="001F0A4F" w:rsidRDefault="00CC626A" w:rsidP="007A0C4A">
      <w:pPr>
        <w:pStyle w:val="OutlinenumberedLevel2"/>
        <w:spacing w:before="0"/>
      </w:pPr>
      <w:r w:rsidRPr="0066228A">
        <w:rPr>
          <w:b/>
        </w:rPr>
        <w:t>Term:</w:t>
      </w:r>
      <w:r w:rsidRPr="001F0A4F">
        <w:t xml:space="preserve">  This Agreement commence</w:t>
      </w:r>
      <w:r w:rsidR="00FD4D08" w:rsidRPr="001F0A4F">
        <w:t>s</w:t>
      </w:r>
      <w:r w:rsidRPr="001F0A4F">
        <w:t xml:space="preserve"> on the date that </w:t>
      </w:r>
      <w:r w:rsidR="00FD4D08" w:rsidRPr="001F0A4F">
        <w:t>it</w:t>
      </w:r>
      <w:r w:rsidRPr="001F0A4F">
        <w:t xml:space="preserve"> is signed by all </w:t>
      </w:r>
      <w:r w:rsidR="00FD4D08" w:rsidRPr="001F0A4F">
        <w:t>p</w:t>
      </w:r>
      <w:r w:rsidRPr="001F0A4F">
        <w:t>arties and will continue in force</w:t>
      </w:r>
      <w:r w:rsidR="00AF7999" w:rsidRPr="001F0A4F">
        <w:t xml:space="preserve"> until terminated under clause </w:t>
      </w:r>
      <w:r w:rsidR="00866215">
        <w:fldChar w:fldCharType="begin"/>
      </w:r>
      <w:r w:rsidR="00866215">
        <w:instrText xml:space="preserve"> REF _Ref455235789 \w \h </w:instrText>
      </w:r>
      <w:r w:rsidR="00866215">
        <w:fldChar w:fldCharType="separate"/>
      </w:r>
      <w:r w:rsidR="007E5370">
        <w:t>2.2</w:t>
      </w:r>
      <w:r w:rsidR="00866215">
        <w:fldChar w:fldCharType="end"/>
      </w:r>
      <w:r w:rsidRPr="001F0A4F">
        <w:t>.</w:t>
      </w:r>
    </w:p>
    <w:p w14:paraId="07922B74" w14:textId="77777777" w:rsidR="00BE7982" w:rsidRPr="001F0A4F" w:rsidRDefault="00BE7982" w:rsidP="007A0C4A">
      <w:pPr>
        <w:pStyle w:val="OutlinenumberedLevel2"/>
        <w:keepNext/>
        <w:spacing w:before="0"/>
      </w:pPr>
      <w:bookmarkStart w:id="4" w:name="_Ref455235789"/>
      <w:r w:rsidRPr="0066228A">
        <w:rPr>
          <w:b/>
        </w:rPr>
        <w:t>Termination:</w:t>
      </w:r>
      <w:r w:rsidRPr="001F0A4F">
        <w:t xml:space="preserve"> </w:t>
      </w:r>
      <w:r w:rsidR="0066228A">
        <w:t xml:space="preserve"> </w:t>
      </w:r>
      <w:r w:rsidRPr="001F0A4F">
        <w:t xml:space="preserve">This Agreement </w:t>
      </w:r>
      <w:r w:rsidR="00DD6C57" w:rsidRPr="001F0A4F">
        <w:t xml:space="preserve">must </w:t>
      </w:r>
      <w:r w:rsidRPr="001F0A4F">
        <w:t>terminate when:</w:t>
      </w:r>
      <w:bookmarkEnd w:id="4"/>
    </w:p>
    <w:p w14:paraId="0D99AF3A" w14:textId="77777777" w:rsidR="00513DB7" w:rsidRPr="001F0A4F" w:rsidRDefault="00670CCC" w:rsidP="007A0C4A">
      <w:pPr>
        <w:pStyle w:val="OutlinenumberedLevel3"/>
        <w:spacing w:before="0"/>
      </w:pPr>
      <w:r w:rsidRPr="001F0A4F">
        <w:t>p</w:t>
      </w:r>
      <w:r w:rsidR="00536C21" w:rsidRPr="001F0A4F">
        <w:t>arties</w:t>
      </w:r>
      <w:r w:rsidR="00DF05B9" w:rsidRPr="001F0A4F">
        <w:t xml:space="preserve"> </w:t>
      </w:r>
      <w:r w:rsidR="004044D0">
        <w:t xml:space="preserve">holding </w:t>
      </w:r>
      <w:r w:rsidR="00EA77CE" w:rsidRPr="00D145D3">
        <w:t>[</w:t>
      </w:r>
      <w:r w:rsidR="004044D0" w:rsidRPr="00EA77CE">
        <w:rPr>
          <w:i/>
        </w:rPr>
        <w:t>90</w:t>
      </w:r>
      <w:r w:rsidR="00EA77CE" w:rsidRPr="00D145D3">
        <w:t>]</w:t>
      </w:r>
      <w:r w:rsidR="00E33EE5" w:rsidRPr="00AD795E">
        <w:t xml:space="preserve">% of the Voting Rights </w:t>
      </w:r>
      <w:r w:rsidR="00743AD3" w:rsidRPr="001F0A4F">
        <w:t>agree</w:t>
      </w:r>
      <w:r w:rsidR="00536C21" w:rsidRPr="001F0A4F">
        <w:t xml:space="preserve"> in writing that it</w:t>
      </w:r>
      <w:r w:rsidR="00BE7982" w:rsidRPr="001F0A4F">
        <w:t xml:space="preserve"> </w:t>
      </w:r>
      <w:r w:rsidR="0000486C" w:rsidRPr="001F0A4F">
        <w:t>will</w:t>
      </w:r>
      <w:r w:rsidR="00BE7982" w:rsidRPr="001F0A4F">
        <w:t xml:space="preserve"> be terminated, in which case </w:t>
      </w:r>
      <w:r w:rsidR="003E748D" w:rsidRPr="001F0A4F">
        <w:t>it</w:t>
      </w:r>
      <w:r w:rsidR="00BE7982" w:rsidRPr="001F0A4F">
        <w:t xml:space="preserve"> </w:t>
      </w:r>
      <w:r w:rsidR="00DD6C57" w:rsidRPr="001F0A4F">
        <w:t xml:space="preserve">must </w:t>
      </w:r>
      <w:r w:rsidR="00BE7982" w:rsidRPr="001F0A4F">
        <w:t>terminate on th</w:t>
      </w:r>
      <w:r w:rsidR="006A2C91" w:rsidRPr="001F0A4F">
        <w:t>e agreed</w:t>
      </w:r>
      <w:r w:rsidR="00E54684" w:rsidRPr="001F0A4F">
        <w:t xml:space="preserve"> date;</w:t>
      </w:r>
    </w:p>
    <w:p w14:paraId="5BE3EC61" w14:textId="77777777" w:rsidR="00E54684" w:rsidRPr="001F0A4F" w:rsidRDefault="00716E9F" w:rsidP="007A0C4A">
      <w:pPr>
        <w:pStyle w:val="OutlinenumberedLevel3"/>
        <w:spacing w:before="0"/>
      </w:pPr>
      <w:r w:rsidRPr="001F0A4F">
        <w:t xml:space="preserve">a single Shareholder holds </w:t>
      </w:r>
      <w:r w:rsidR="00513DB7" w:rsidRPr="001F0A4F">
        <w:t xml:space="preserve">Shares </w:t>
      </w:r>
      <w:r w:rsidR="00C224B4" w:rsidRPr="001F0A4F">
        <w:t xml:space="preserve">carrying </w:t>
      </w:r>
      <w:r w:rsidR="00E33EE5">
        <w:t>100</w:t>
      </w:r>
      <w:r w:rsidR="00C224B4" w:rsidRPr="001F0A4F">
        <w:t>% of the Voting Rights</w:t>
      </w:r>
      <w:r w:rsidR="00513DB7" w:rsidRPr="001F0A4F">
        <w:t>;</w:t>
      </w:r>
    </w:p>
    <w:p w14:paraId="51F03ACD" w14:textId="77777777" w:rsidR="007D5858" w:rsidRPr="001F0A4F" w:rsidRDefault="00B83577" w:rsidP="007A0C4A">
      <w:pPr>
        <w:pStyle w:val="OutlinenumberedLevel3"/>
        <w:spacing w:before="0"/>
      </w:pPr>
      <w:r w:rsidRPr="001F0A4F">
        <w:t>a</w:t>
      </w:r>
      <w:r w:rsidR="007D5858" w:rsidRPr="001F0A4F">
        <w:t>n order is made, or a resolution is passed, to appo</w:t>
      </w:r>
      <w:r w:rsidR="0084546A" w:rsidRPr="001F0A4F">
        <w:t>int a liquidator to the Company; or</w:t>
      </w:r>
    </w:p>
    <w:p w14:paraId="080CA417" w14:textId="77777777" w:rsidR="0084546A" w:rsidRPr="001F0A4F" w:rsidRDefault="0084546A" w:rsidP="007A0C4A">
      <w:pPr>
        <w:pStyle w:val="OutlinenumberedLevel3"/>
        <w:spacing w:before="0"/>
      </w:pPr>
      <w:r w:rsidRPr="001F0A4F">
        <w:t>the Shares are listed.</w:t>
      </w:r>
    </w:p>
    <w:p w14:paraId="67FFC31F" w14:textId="4A58EB25" w:rsidR="00A97993" w:rsidRPr="001F0A4F" w:rsidRDefault="006A2C91" w:rsidP="007A0C4A">
      <w:pPr>
        <w:pStyle w:val="OutlinenumberedLevel2"/>
        <w:spacing w:before="0"/>
      </w:pPr>
      <w:r w:rsidRPr="0066228A">
        <w:rPr>
          <w:b/>
        </w:rPr>
        <w:t>Exiting Shareholder:</w:t>
      </w:r>
      <w:r w:rsidRPr="001F0A4F">
        <w:t xml:space="preserve">  </w:t>
      </w:r>
      <w:r w:rsidR="00A97993" w:rsidRPr="001F0A4F">
        <w:t>A party cease</w:t>
      </w:r>
      <w:r w:rsidR="00FD4D08" w:rsidRPr="001F0A4F">
        <w:t>s</w:t>
      </w:r>
      <w:r w:rsidR="00A97993" w:rsidRPr="001F0A4F">
        <w:t xml:space="preserve"> to be bound by</w:t>
      </w:r>
      <w:r w:rsidR="00743AD3" w:rsidRPr="001F0A4F">
        <w:t>,</w:t>
      </w:r>
      <w:r w:rsidR="00A97993" w:rsidRPr="001F0A4F">
        <w:t xml:space="preserve"> </w:t>
      </w:r>
      <w:r w:rsidR="00743AD3" w:rsidRPr="001F0A4F">
        <w:t xml:space="preserve">and to be a party to, </w:t>
      </w:r>
      <w:r w:rsidR="00A97993" w:rsidRPr="001F0A4F">
        <w:t>this Agreement if</w:t>
      </w:r>
      <w:r w:rsidR="00660AEC" w:rsidRPr="001F0A4F">
        <w:t>,</w:t>
      </w:r>
      <w:r w:rsidR="00A97993" w:rsidRPr="001F0A4F">
        <w:t xml:space="preserve"> </w:t>
      </w:r>
      <w:r w:rsidR="00660AEC" w:rsidRPr="001F0A4F">
        <w:t>having</w:t>
      </w:r>
      <w:r w:rsidR="00FE6CAD" w:rsidRPr="001F0A4F">
        <w:t xml:space="preserve"> complied with</w:t>
      </w:r>
      <w:r w:rsidR="002078E3" w:rsidRPr="001F0A4F">
        <w:t xml:space="preserve"> clause</w:t>
      </w:r>
      <w:r w:rsidR="00C04803" w:rsidRPr="001F0A4F">
        <w:t xml:space="preserve"> </w:t>
      </w:r>
      <w:r w:rsidR="00866215">
        <w:fldChar w:fldCharType="begin"/>
      </w:r>
      <w:r w:rsidR="00866215">
        <w:instrText xml:space="preserve"> REF _Ref455235800 \w \h </w:instrText>
      </w:r>
      <w:r w:rsidR="00866215">
        <w:fldChar w:fldCharType="separate"/>
      </w:r>
      <w:r w:rsidR="007E5370">
        <w:t>8</w:t>
      </w:r>
      <w:r w:rsidR="00866215">
        <w:fldChar w:fldCharType="end"/>
      </w:r>
      <w:r w:rsidR="00660AEC" w:rsidRPr="001F0A4F">
        <w:t xml:space="preserve">, </w:t>
      </w:r>
      <w:r w:rsidR="00743AD3" w:rsidRPr="001F0A4F">
        <w:t>it</w:t>
      </w:r>
      <w:r w:rsidR="00A97993" w:rsidRPr="001F0A4F">
        <w:t xml:space="preserve"> cease</w:t>
      </w:r>
      <w:r w:rsidR="00743AD3" w:rsidRPr="001F0A4F">
        <w:t>s</w:t>
      </w:r>
      <w:r w:rsidR="00A97993" w:rsidRPr="001F0A4F">
        <w:t xml:space="preserve"> to hold any </w:t>
      </w:r>
      <w:r w:rsidR="00FA6E30" w:rsidRPr="001F0A4F">
        <w:t>Securities</w:t>
      </w:r>
      <w:r w:rsidR="00DB7B1C">
        <w:t xml:space="preserve"> (</w:t>
      </w:r>
      <w:r w:rsidR="008509B5">
        <w:t>except</w:t>
      </w:r>
      <w:r w:rsidR="00A97993" w:rsidRPr="001F0A4F">
        <w:t xml:space="preserve"> that cl</w:t>
      </w:r>
      <w:r w:rsidR="00F53C92" w:rsidRPr="001F0A4F">
        <w:t>ause</w:t>
      </w:r>
      <w:r w:rsidR="007C4593">
        <w:t xml:space="preserve">s </w:t>
      </w:r>
      <w:r w:rsidR="00866215">
        <w:fldChar w:fldCharType="begin"/>
      </w:r>
      <w:r w:rsidR="00866215">
        <w:instrText xml:space="preserve"> REF _Ref455235812 \w \h </w:instrText>
      </w:r>
      <w:r w:rsidR="00866215">
        <w:fldChar w:fldCharType="separate"/>
      </w:r>
      <w:r w:rsidR="007E5370">
        <w:t>9</w:t>
      </w:r>
      <w:r w:rsidR="00866215">
        <w:fldChar w:fldCharType="end"/>
      </w:r>
      <w:r w:rsidR="007D34D6" w:rsidRPr="001F0A4F">
        <w:t xml:space="preserve"> and </w:t>
      </w:r>
      <w:r w:rsidR="00A4058A">
        <w:t>11</w:t>
      </w:r>
      <w:r w:rsidR="007C4593">
        <w:t>.2</w:t>
      </w:r>
      <w:r w:rsidR="00A97993" w:rsidRPr="001F0A4F">
        <w:t xml:space="preserve"> </w:t>
      </w:r>
      <w:r w:rsidR="0000486C" w:rsidRPr="001F0A4F">
        <w:t>will</w:t>
      </w:r>
      <w:r w:rsidR="00A97993" w:rsidRPr="001F0A4F">
        <w:t xml:space="preserve"> continue to apply).</w:t>
      </w:r>
    </w:p>
    <w:p w14:paraId="59ED6203" w14:textId="77777777" w:rsidR="009D529B" w:rsidRPr="001F0A4F" w:rsidRDefault="00004147" w:rsidP="007A0C4A">
      <w:pPr>
        <w:pStyle w:val="OutlinenumberedLevel1"/>
        <w:spacing w:before="0"/>
      </w:pPr>
      <w:r w:rsidRPr="001F0A4F">
        <w:t>CONDUCT OF THE PARTIES</w:t>
      </w:r>
    </w:p>
    <w:p w14:paraId="02D6008F" w14:textId="77777777" w:rsidR="00A211F5" w:rsidRPr="001F0A4F" w:rsidRDefault="00A211F5" w:rsidP="007A0C4A">
      <w:pPr>
        <w:ind w:left="567"/>
      </w:pPr>
      <w:r w:rsidRPr="001F0A4F">
        <w:t xml:space="preserve">The </w:t>
      </w:r>
      <w:r w:rsidR="00AF7999" w:rsidRPr="001F0A4F">
        <w:t>Shareholders</w:t>
      </w:r>
      <w:r w:rsidRPr="001F0A4F">
        <w:t xml:space="preserve"> </w:t>
      </w:r>
      <w:r w:rsidR="00FD4D08" w:rsidRPr="001F0A4F">
        <w:t xml:space="preserve">must </w:t>
      </w:r>
      <w:r w:rsidRPr="001F0A4F">
        <w:t>exercise all voting rights and other powers of control available to them in relation to the Company</w:t>
      </w:r>
      <w:r w:rsidR="00FD4D08" w:rsidRPr="001F0A4F">
        <w:t>,</w:t>
      </w:r>
      <w:r w:rsidRPr="001F0A4F">
        <w:t xml:space="preserve"> in their capacity as Shareholde</w:t>
      </w:r>
      <w:r w:rsidR="009037AD" w:rsidRPr="001F0A4F">
        <w:t>rs and through their appointed D</w:t>
      </w:r>
      <w:r w:rsidRPr="001F0A4F">
        <w:t>irectors</w:t>
      </w:r>
      <w:r w:rsidR="00FD4D08" w:rsidRPr="001F0A4F">
        <w:t>,</w:t>
      </w:r>
      <w:r w:rsidRPr="001F0A4F">
        <w:t xml:space="preserve"> </w:t>
      </w:r>
      <w:r w:rsidR="00FD4D08" w:rsidRPr="001F0A4F">
        <w:t xml:space="preserve">to give effect to this Agreement </w:t>
      </w:r>
      <w:r w:rsidRPr="001F0A4F">
        <w:t>(as far as they are able by the exercise of such rights and powers)</w:t>
      </w:r>
      <w:r w:rsidR="00FD4D08" w:rsidRPr="001F0A4F">
        <w:t>.</w:t>
      </w:r>
    </w:p>
    <w:p w14:paraId="66E01DE7" w14:textId="77777777" w:rsidR="00A211F5" w:rsidRPr="001F0A4F" w:rsidRDefault="00004147" w:rsidP="00C4132D">
      <w:pPr>
        <w:pStyle w:val="OutlinenumberedLevel1"/>
        <w:spacing w:before="0"/>
      </w:pPr>
      <w:r w:rsidRPr="001F0A4F">
        <w:t>BOARD OF DIRECTORS</w:t>
      </w:r>
    </w:p>
    <w:p w14:paraId="3EE80A5A" w14:textId="77777777" w:rsidR="00A211F5" w:rsidRDefault="00484170" w:rsidP="00C4132D">
      <w:pPr>
        <w:pStyle w:val="OutlinenumberedLevel2"/>
        <w:keepNext/>
        <w:spacing w:before="0"/>
        <w:rPr>
          <w:b/>
        </w:rPr>
      </w:pPr>
      <w:r w:rsidRPr="0066228A">
        <w:rPr>
          <w:b/>
        </w:rPr>
        <w:t>Board size and c</w:t>
      </w:r>
      <w:r w:rsidR="00A211F5" w:rsidRPr="0066228A">
        <w:rPr>
          <w:b/>
        </w:rPr>
        <w:t>omposition:</w:t>
      </w:r>
    </w:p>
    <w:p w14:paraId="66E1EA98" w14:textId="77777777" w:rsidR="00D36655" w:rsidRDefault="00D36655" w:rsidP="00C4132D">
      <w:pPr>
        <w:pStyle w:val="OutlinenumberedLevel3"/>
        <w:keepNext/>
        <w:numPr>
          <w:ilvl w:val="0"/>
          <w:numId w:val="0"/>
        </w:numPr>
        <w:tabs>
          <w:tab w:val="left" w:pos="567"/>
        </w:tabs>
        <w:spacing w:before="0"/>
        <w:ind w:left="567"/>
        <w:rPr>
          <w:b/>
          <w:i/>
          <w:color w:val="C00000"/>
          <w:highlight w:val="lightGray"/>
        </w:rPr>
      </w:pPr>
      <w:r w:rsidRPr="008025DE">
        <w:rPr>
          <w:b/>
          <w:color w:val="C00000"/>
          <w:highlight w:val="lightGray"/>
        </w:rPr>
        <w:t>[</w:t>
      </w:r>
      <w:r w:rsidRPr="008025DE">
        <w:rPr>
          <w:b/>
          <w:i/>
          <w:color w:val="C00000"/>
          <w:highlight w:val="lightGray"/>
        </w:rPr>
        <w:t xml:space="preserve">User note:  </w:t>
      </w:r>
    </w:p>
    <w:p w14:paraId="03F1C980" w14:textId="77777777" w:rsidR="00D76364" w:rsidRPr="00D76364" w:rsidRDefault="00D36655" w:rsidP="00C4132D">
      <w:pPr>
        <w:pStyle w:val="OutlinenumberedLevel3"/>
        <w:keepNext/>
        <w:numPr>
          <w:ilvl w:val="0"/>
          <w:numId w:val="15"/>
        </w:numPr>
        <w:tabs>
          <w:tab w:val="left" w:pos="567"/>
        </w:tabs>
        <w:spacing w:before="0"/>
        <w:rPr>
          <w:b/>
          <w:i/>
          <w:color w:val="C00000"/>
          <w:highlight w:val="lightGray"/>
        </w:rPr>
      </w:pPr>
      <w:r>
        <w:rPr>
          <w:b/>
          <w:i/>
          <w:color w:val="C00000"/>
          <w:highlight w:val="lightGray"/>
        </w:rPr>
        <w:t xml:space="preserve">There is an expectation that </w:t>
      </w:r>
      <w:r w:rsidR="00DA54F4">
        <w:rPr>
          <w:b/>
          <w:i/>
          <w:color w:val="C00000"/>
          <w:highlight w:val="lightGray"/>
        </w:rPr>
        <w:t>investors</w:t>
      </w:r>
      <w:r>
        <w:rPr>
          <w:b/>
          <w:i/>
          <w:color w:val="C00000"/>
          <w:highlight w:val="lightGray"/>
        </w:rPr>
        <w:t xml:space="preserve"> who hold a significant shareholding will, at least in the early stages of a </w:t>
      </w:r>
      <w:r w:rsidR="008C59F5">
        <w:rPr>
          <w:b/>
          <w:i/>
          <w:color w:val="C00000"/>
          <w:highlight w:val="lightGray"/>
        </w:rPr>
        <w:t xml:space="preserve">company’s development, have a </w:t>
      </w:r>
      <w:r>
        <w:rPr>
          <w:b/>
          <w:i/>
          <w:color w:val="C00000"/>
          <w:highlight w:val="lightGray"/>
        </w:rPr>
        <w:t>right to appoint a director</w:t>
      </w:r>
      <w:r w:rsidR="00427F36">
        <w:rPr>
          <w:b/>
          <w:i/>
          <w:color w:val="C00000"/>
          <w:highlight w:val="lightGray"/>
        </w:rPr>
        <w:t xml:space="preserve">. </w:t>
      </w:r>
      <w:r w:rsidR="00A63B98">
        <w:rPr>
          <w:b/>
          <w:i/>
          <w:color w:val="C00000"/>
          <w:highlight w:val="lightGray"/>
        </w:rPr>
        <w:t xml:space="preserve"> </w:t>
      </w:r>
      <w:proofErr w:type="gramStart"/>
      <w:r w:rsidR="00CA2E2E">
        <w:rPr>
          <w:b/>
          <w:i/>
          <w:color w:val="C00000"/>
          <w:highlight w:val="lightGray"/>
        </w:rPr>
        <w:t>Generally</w:t>
      </w:r>
      <w:proofErr w:type="gramEnd"/>
      <w:r w:rsidR="00CA2E2E">
        <w:rPr>
          <w:b/>
          <w:i/>
          <w:color w:val="C00000"/>
          <w:highlight w:val="lightGray"/>
        </w:rPr>
        <w:t xml:space="preserve"> at the</w:t>
      </w:r>
      <w:r w:rsidR="00427F36">
        <w:rPr>
          <w:b/>
          <w:i/>
          <w:color w:val="C00000"/>
          <w:highlight w:val="lightGray"/>
        </w:rPr>
        <w:t xml:space="preserve"> seed round</w:t>
      </w:r>
      <w:r w:rsidR="00FA34ED">
        <w:rPr>
          <w:b/>
          <w:i/>
          <w:color w:val="C00000"/>
          <w:highlight w:val="lightGray"/>
        </w:rPr>
        <w:t xml:space="preserve"> stage</w:t>
      </w:r>
      <w:r w:rsidR="00427F36">
        <w:rPr>
          <w:b/>
          <w:i/>
          <w:color w:val="C00000"/>
          <w:highlight w:val="lightGray"/>
        </w:rPr>
        <w:t>, you would not expect to have more than one investor director.</w:t>
      </w:r>
    </w:p>
    <w:p w14:paraId="6DCBE5C6" w14:textId="77777777" w:rsidR="00D36655" w:rsidRPr="00D76364" w:rsidRDefault="00D36655" w:rsidP="00C4132D">
      <w:pPr>
        <w:pStyle w:val="OutlinenumberedLevel3"/>
        <w:keepNext/>
        <w:numPr>
          <w:ilvl w:val="0"/>
          <w:numId w:val="15"/>
        </w:numPr>
        <w:tabs>
          <w:tab w:val="left" w:pos="567"/>
        </w:tabs>
        <w:spacing w:before="0"/>
        <w:rPr>
          <w:b/>
          <w:i/>
          <w:color w:val="C00000"/>
          <w:highlight w:val="lightGray"/>
        </w:rPr>
      </w:pPr>
      <w:r>
        <w:rPr>
          <w:b/>
          <w:i/>
          <w:color w:val="C00000"/>
          <w:highlight w:val="lightGray"/>
        </w:rPr>
        <w:t xml:space="preserve">If </w:t>
      </w:r>
      <w:r w:rsidR="00A63B98">
        <w:rPr>
          <w:b/>
          <w:i/>
          <w:color w:val="C00000"/>
          <w:highlight w:val="lightGray"/>
        </w:rPr>
        <w:t xml:space="preserve">an </w:t>
      </w:r>
      <w:r w:rsidR="00F87180">
        <w:rPr>
          <w:b/>
          <w:i/>
          <w:color w:val="C00000"/>
          <w:highlight w:val="lightGray"/>
        </w:rPr>
        <w:t xml:space="preserve">investor or any </w:t>
      </w:r>
      <w:r w:rsidR="00D76364">
        <w:rPr>
          <w:b/>
          <w:i/>
          <w:color w:val="C00000"/>
          <w:highlight w:val="lightGray"/>
        </w:rPr>
        <w:t xml:space="preserve">other </w:t>
      </w:r>
      <w:r>
        <w:rPr>
          <w:b/>
          <w:i/>
          <w:color w:val="C00000"/>
          <w:highlight w:val="lightGray"/>
        </w:rPr>
        <w:t xml:space="preserve">shareholders holding a specified minimum shareholding </w:t>
      </w:r>
      <w:r w:rsidR="00F87180">
        <w:rPr>
          <w:b/>
          <w:i/>
          <w:color w:val="C00000"/>
          <w:highlight w:val="lightGray"/>
        </w:rPr>
        <w:t xml:space="preserve">are to be </w:t>
      </w:r>
      <w:r>
        <w:rPr>
          <w:b/>
          <w:i/>
          <w:color w:val="C00000"/>
          <w:highlight w:val="lightGray"/>
        </w:rPr>
        <w:t>granted the right to appoint a director, you need to give careful thought</w:t>
      </w:r>
      <w:r w:rsidR="00F87180">
        <w:rPr>
          <w:b/>
          <w:i/>
          <w:color w:val="C00000"/>
          <w:highlight w:val="lightGray"/>
        </w:rPr>
        <w:t xml:space="preserve"> as</w:t>
      </w:r>
      <w:r>
        <w:rPr>
          <w:b/>
          <w:i/>
          <w:color w:val="C00000"/>
          <w:highlight w:val="lightGray"/>
        </w:rPr>
        <w:t xml:space="preserve"> to </w:t>
      </w:r>
      <w:r w:rsidR="00CA2E2E">
        <w:rPr>
          <w:b/>
          <w:i/>
          <w:color w:val="C00000"/>
          <w:highlight w:val="lightGray"/>
        </w:rPr>
        <w:t>how the board appointments will play out and who will be</w:t>
      </w:r>
      <w:r>
        <w:rPr>
          <w:b/>
          <w:i/>
          <w:color w:val="C00000"/>
          <w:highlight w:val="lightGray"/>
        </w:rPr>
        <w:t xml:space="preserve"> in </w:t>
      </w:r>
      <w:r>
        <w:rPr>
          <w:b/>
          <w:i/>
          <w:color w:val="C00000"/>
          <w:highlight w:val="lightGray"/>
        </w:rPr>
        <w:lastRenderedPageBreak/>
        <w:t xml:space="preserve">control of the company.  </w:t>
      </w:r>
      <w:proofErr w:type="gramStart"/>
      <w:r w:rsidR="008C59F5">
        <w:rPr>
          <w:b/>
          <w:i/>
          <w:color w:val="C00000"/>
          <w:highlight w:val="lightGray"/>
        </w:rPr>
        <w:t>Generally</w:t>
      </w:r>
      <w:proofErr w:type="gramEnd"/>
      <w:r w:rsidR="008C59F5">
        <w:rPr>
          <w:b/>
          <w:i/>
          <w:color w:val="C00000"/>
          <w:highlight w:val="lightGray"/>
        </w:rPr>
        <w:t xml:space="preserve"> this should be the Founders</w:t>
      </w:r>
      <w:r w:rsidR="00CA2E2E">
        <w:rPr>
          <w:b/>
          <w:i/>
          <w:color w:val="C00000"/>
          <w:highlight w:val="lightGray"/>
        </w:rPr>
        <w:t xml:space="preserve"> at the seed stage</w:t>
      </w:r>
      <w:r w:rsidR="008C59F5">
        <w:rPr>
          <w:b/>
          <w:i/>
          <w:color w:val="C00000"/>
          <w:highlight w:val="lightGray"/>
        </w:rPr>
        <w:t xml:space="preserve">. </w:t>
      </w:r>
      <w:r w:rsidR="00A63B98">
        <w:rPr>
          <w:b/>
          <w:i/>
          <w:color w:val="C00000"/>
          <w:highlight w:val="lightGray"/>
        </w:rPr>
        <w:t xml:space="preserve"> </w:t>
      </w:r>
    </w:p>
    <w:p w14:paraId="423AD890" w14:textId="77777777" w:rsidR="00D76364" w:rsidRDefault="00427F36" w:rsidP="007A0C4A">
      <w:pPr>
        <w:pStyle w:val="OutlinenumberedLevel3"/>
        <w:numPr>
          <w:ilvl w:val="0"/>
          <w:numId w:val="15"/>
        </w:numPr>
        <w:tabs>
          <w:tab w:val="left" w:pos="567"/>
        </w:tabs>
        <w:spacing w:before="0"/>
        <w:rPr>
          <w:b/>
          <w:i/>
          <w:color w:val="C00000"/>
          <w:highlight w:val="lightGray"/>
        </w:rPr>
      </w:pPr>
      <w:r>
        <w:rPr>
          <w:b/>
          <w:i/>
          <w:color w:val="C00000"/>
          <w:highlight w:val="lightGray"/>
        </w:rPr>
        <w:t>The right to appoint an</w:t>
      </w:r>
      <w:r w:rsidR="00D76364">
        <w:rPr>
          <w:b/>
          <w:i/>
          <w:color w:val="C00000"/>
          <w:highlight w:val="lightGray"/>
        </w:rPr>
        <w:t xml:space="preserve"> Investor Director</w:t>
      </w:r>
      <w:r>
        <w:rPr>
          <w:b/>
          <w:i/>
          <w:color w:val="C00000"/>
          <w:highlight w:val="lightGray"/>
        </w:rPr>
        <w:t xml:space="preserve"> is often given to the lead investor on the round who will own the largest % of shares. </w:t>
      </w:r>
      <w:r w:rsidR="00A63B98">
        <w:rPr>
          <w:b/>
          <w:i/>
          <w:color w:val="C00000"/>
          <w:highlight w:val="lightGray"/>
        </w:rPr>
        <w:t xml:space="preserve"> </w:t>
      </w:r>
      <w:proofErr w:type="gramStart"/>
      <w:r>
        <w:rPr>
          <w:b/>
          <w:i/>
          <w:color w:val="C00000"/>
          <w:highlight w:val="lightGray"/>
        </w:rPr>
        <w:t>Alternatively</w:t>
      </w:r>
      <w:proofErr w:type="gramEnd"/>
      <w:r>
        <w:rPr>
          <w:b/>
          <w:i/>
          <w:color w:val="C00000"/>
          <w:highlight w:val="lightGray"/>
        </w:rPr>
        <w:t xml:space="preserve"> the appointment rights could be given to a majority of the Investors.</w:t>
      </w:r>
    </w:p>
    <w:p w14:paraId="6692DB0F" w14:textId="77777777" w:rsidR="00427F36" w:rsidRPr="00B47C8D" w:rsidRDefault="00427F36" w:rsidP="007A0C4A">
      <w:pPr>
        <w:pStyle w:val="OutlinenumberedLevel3"/>
        <w:numPr>
          <w:ilvl w:val="0"/>
          <w:numId w:val="15"/>
        </w:numPr>
        <w:tabs>
          <w:tab w:val="left" w:pos="567"/>
        </w:tabs>
        <w:spacing w:before="0"/>
        <w:rPr>
          <w:b/>
          <w:i/>
          <w:color w:val="C00000"/>
          <w:highlight w:val="lightGray"/>
        </w:rPr>
      </w:pPr>
      <w:r>
        <w:rPr>
          <w:b/>
          <w:i/>
          <w:color w:val="C00000"/>
          <w:highlight w:val="lightGray"/>
        </w:rPr>
        <w:t xml:space="preserve">It may be that </w:t>
      </w:r>
      <w:r w:rsidR="00243A75">
        <w:rPr>
          <w:b/>
          <w:i/>
          <w:color w:val="C00000"/>
          <w:highlight w:val="lightGray"/>
        </w:rPr>
        <w:t xml:space="preserve">in addition to, or as an alternative to, the right to appoint an Investor Director </w:t>
      </w:r>
      <w:r w:rsidR="00F87180">
        <w:rPr>
          <w:b/>
          <w:i/>
          <w:color w:val="C00000"/>
          <w:highlight w:val="lightGray"/>
        </w:rPr>
        <w:t xml:space="preserve">, </w:t>
      </w:r>
      <w:r>
        <w:rPr>
          <w:b/>
          <w:i/>
          <w:color w:val="C00000"/>
          <w:highlight w:val="lightGray"/>
        </w:rPr>
        <w:t xml:space="preserve">an investor or indeed other shareholders holding a specified minimum </w:t>
      </w:r>
      <w:r w:rsidR="00243A75">
        <w:rPr>
          <w:b/>
          <w:i/>
          <w:color w:val="C00000"/>
          <w:highlight w:val="lightGray"/>
        </w:rPr>
        <w:t>shareholding will be granted</w:t>
      </w:r>
      <w:r>
        <w:rPr>
          <w:b/>
          <w:i/>
          <w:color w:val="C00000"/>
          <w:highlight w:val="lightGray"/>
        </w:rPr>
        <w:t xml:space="preserve"> board observer rights.</w:t>
      </w:r>
      <w:r w:rsidR="00D145D3">
        <w:rPr>
          <w:b/>
          <w:color w:val="C00000"/>
          <w:highlight w:val="lightGray"/>
        </w:rPr>
        <w:t>]</w:t>
      </w:r>
    </w:p>
    <w:p w14:paraId="2AEACAFB" w14:textId="524B7DBB" w:rsidR="00AF0CC1" w:rsidRDefault="00AF0CC1" w:rsidP="007A0C4A">
      <w:pPr>
        <w:pStyle w:val="OutlinenumberedLevel3"/>
        <w:spacing w:before="0"/>
      </w:pPr>
      <w:bookmarkStart w:id="5" w:name="_Ref455235836"/>
      <w:r>
        <w:t xml:space="preserve">The maximum number of Directors </w:t>
      </w:r>
      <w:r w:rsidR="000070D8">
        <w:t xml:space="preserve">will </w:t>
      </w:r>
      <w:r>
        <w:t xml:space="preserve">be </w:t>
      </w:r>
      <w:r w:rsidR="00D36655">
        <w:t>[</w:t>
      </w:r>
      <w:r w:rsidR="00D36655">
        <w:rPr>
          <w:i/>
        </w:rPr>
        <w:t>insert number</w:t>
      </w:r>
      <w:r w:rsidR="00D36655">
        <w:t>]</w:t>
      </w:r>
      <w:r>
        <w:t>.</w:t>
      </w:r>
      <w:bookmarkEnd w:id="5"/>
    </w:p>
    <w:p w14:paraId="0C79D4AE" w14:textId="6AC0C6CC" w:rsidR="008C59F5" w:rsidRPr="00F87180" w:rsidRDefault="008C59F5" w:rsidP="007A0C4A">
      <w:pPr>
        <w:pStyle w:val="OutlinenumberedLevel3"/>
        <w:keepNext/>
        <w:spacing w:before="0"/>
        <w:ind w:left="1134"/>
        <w:rPr>
          <w:i/>
        </w:rPr>
      </w:pPr>
      <w:bookmarkStart w:id="6" w:name="_Ref455235777"/>
      <w:r w:rsidRPr="005C0E04">
        <w:rPr>
          <w:i/>
        </w:rPr>
        <w:t>[</w:t>
      </w:r>
      <w:r w:rsidR="00243A75" w:rsidRPr="005C0E04">
        <w:rPr>
          <w:i/>
        </w:rPr>
        <w:t>N</w:t>
      </w:r>
      <w:r w:rsidR="005C0E04" w:rsidRPr="005C0E04">
        <w:rPr>
          <w:i/>
        </w:rPr>
        <w:t>ame of i</w:t>
      </w:r>
      <w:r w:rsidRPr="005C0E04">
        <w:rPr>
          <w:i/>
        </w:rPr>
        <w:t>nvestor</w:t>
      </w:r>
      <w:r w:rsidR="005C0E04" w:rsidRPr="005C0E04">
        <w:rPr>
          <w:i/>
        </w:rPr>
        <w:t xml:space="preserve"> appointing a </w:t>
      </w:r>
      <w:r w:rsidR="003674E6">
        <w:rPr>
          <w:i/>
        </w:rPr>
        <w:t>D</w:t>
      </w:r>
      <w:r w:rsidR="005C0E04" w:rsidRPr="005C0E04">
        <w:rPr>
          <w:i/>
        </w:rPr>
        <w:t>irector</w:t>
      </w:r>
      <w:r w:rsidR="00427F36" w:rsidRPr="005C0E04">
        <w:rPr>
          <w:i/>
        </w:rPr>
        <w:t>]</w:t>
      </w:r>
      <w:r w:rsidR="00427F36" w:rsidRPr="005C0E04">
        <w:t xml:space="preserve"> </w:t>
      </w:r>
      <w:r w:rsidR="00243A75" w:rsidRPr="00F87180">
        <w:rPr>
          <w:i/>
        </w:rPr>
        <w:t xml:space="preserve">has, while it </w:t>
      </w:r>
      <w:r w:rsidR="00427F36" w:rsidRPr="00F87180">
        <w:rPr>
          <w:i/>
        </w:rPr>
        <w:t xml:space="preserve">[holds </w:t>
      </w:r>
      <w:r w:rsidR="00243A75" w:rsidRPr="00F87180">
        <w:rPr>
          <w:i/>
        </w:rPr>
        <w:t xml:space="preserve">at least </w:t>
      </w:r>
      <w:r w:rsidR="00427F36" w:rsidRPr="00F87180">
        <w:rPr>
          <w:i/>
        </w:rPr>
        <w:t>[insert</w:t>
      </w:r>
      <w:r w:rsidRPr="00F87180">
        <w:rPr>
          <w:i/>
        </w:rPr>
        <w:t>]% of the Shares</w:t>
      </w:r>
      <w:r w:rsidR="00D145D3" w:rsidRPr="00F87180">
        <w:rPr>
          <w:i/>
        </w:rPr>
        <w:t>,</w:t>
      </w:r>
      <w:r w:rsidRPr="00F87180">
        <w:rPr>
          <w:i/>
        </w:rPr>
        <w:t xml:space="preserve"> the right:</w:t>
      </w:r>
      <w:bookmarkEnd w:id="6"/>
    </w:p>
    <w:p w14:paraId="38E0D45A" w14:textId="3E5879B2" w:rsidR="008F7F8E" w:rsidRPr="00243A75" w:rsidRDefault="008C59F5" w:rsidP="007A0C4A">
      <w:pPr>
        <w:pStyle w:val="Heading4"/>
        <w:spacing w:after="200"/>
        <w:rPr>
          <w:rFonts w:ascii="Arial" w:hAnsi="Arial" w:cs="Arial"/>
          <w:i/>
        </w:rPr>
      </w:pPr>
      <w:r w:rsidRPr="00F87180">
        <w:rPr>
          <w:rFonts w:ascii="Arial" w:hAnsi="Arial" w:cs="Arial"/>
          <w:i/>
        </w:rPr>
        <w:t xml:space="preserve">to appoint and maintain in office such person as [name of Investor] may from time to time nominate as a </w:t>
      </w:r>
      <w:r w:rsidR="00B80FB0">
        <w:rPr>
          <w:rFonts w:ascii="Arial" w:hAnsi="Arial" w:cs="Arial"/>
          <w:i/>
        </w:rPr>
        <w:t>D</w:t>
      </w:r>
      <w:r w:rsidRPr="00F87180">
        <w:rPr>
          <w:rFonts w:ascii="Arial" w:hAnsi="Arial" w:cs="Arial"/>
          <w:i/>
        </w:rPr>
        <w:t>irector of the Company (and as a member of each and any committee of</w:t>
      </w:r>
      <w:r w:rsidRPr="00A63B98">
        <w:rPr>
          <w:rFonts w:ascii="Arial" w:hAnsi="Arial" w:cs="Arial"/>
          <w:i/>
        </w:rPr>
        <w:t xml:space="preserve"> the Board) and to remove any </w:t>
      </w:r>
      <w:r w:rsidR="00B80FB0">
        <w:rPr>
          <w:rFonts w:ascii="Arial" w:hAnsi="Arial" w:cs="Arial"/>
          <w:i/>
        </w:rPr>
        <w:t>D</w:t>
      </w:r>
      <w:r w:rsidRPr="00A63B98">
        <w:rPr>
          <w:rFonts w:ascii="Arial" w:hAnsi="Arial" w:cs="Arial"/>
          <w:i/>
        </w:rPr>
        <w:t>irector so appointed and,</w:t>
      </w:r>
      <w:r w:rsidR="00427F36" w:rsidRPr="00A63B98">
        <w:rPr>
          <w:rFonts w:ascii="Arial" w:hAnsi="Arial" w:cs="Arial"/>
          <w:i/>
        </w:rPr>
        <w:t xml:space="preserve"> upon his </w:t>
      </w:r>
      <w:r w:rsidR="00B80FB0">
        <w:rPr>
          <w:rFonts w:ascii="Arial" w:hAnsi="Arial" w:cs="Arial"/>
          <w:i/>
        </w:rPr>
        <w:t xml:space="preserve">or her </w:t>
      </w:r>
      <w:r w:rsidR="00427F36" w:rsidRPr="00A63B98">
        <w:rPr>
          <w:rFonts w:ascii="Arial" w:hAnsi="Arial" w:cs="Arial"/>
          <w:i/>
        </w:rPr>
        <w:t>removal whether by</w:t>
      </w:r>
      <w:r w:rsidRPr="00A63B98">
        <w:rPr>
          <w:rFonts w:ascii="Arial" w:hAnsi="Arial" w:cs="Arial"/>
          <w:i/>
        </w:rPr>
        <w:t xml:space="preserve"> </w:t>
      </w:r>
      <w:r w:rsidR="00427F36" w:rsidRPr="00A63B98">
        <w:rPr>
          <w:rFonts w:ascii="Arial" w:hAnsi="Arial" w:cs="Arial"/>
          <w:i/>
        </w:rPr>
        <w:t xml:space="preserve">[name of </w:t>
      </w:r>
      <w:r w:rsidRPr="00A63B98">
        <w:rPr>
          <w:rFonts w:ascii="Arial" w:hAnsi="Arial" w:cs="Arial"/>
          <w:i/>
        </w:rPr>
        <w:t>In</w:t>
      </w:r>
      <w:r w:rsidR="00427F36" w:rsidRPr="00A63B98">
        <w:rPr>
          <w:rFonts w:ascii="Arial" w:hAnsi="Arial" w:cs="Arial"/>
          <w:i/>
        </w:rPr>
        <w:t xml:space="preserve">vestor] </w:t>
      </w:r>
      <w:r w:rsidRPr="00A63B98">
        <w:rPr>
          <w:rFonts w:ascii="Arial" w:hAnsi="Arial" w:cs="Arial"/>
          <w:i/>
        </w:rPr>
        <w:t xml:space="preserve">or otherwise, to appoint another </w:t>
      </w:r>
      <w:r w:rsidR="00B80FB0">
        <w:rPr>
          <w:rFonts w:ascii="Arial" w:hAnsi="Arial" w:cs="Arial"/>
          <w:i/>
        </w:rPr>
        <w:t>D</w:t>
      </w:r>
      <w:r w:rsidRPr="00243A75">
        <w:rPr>
          <w:rFonts w:ascii="Arial" w:hAnsi="Arial" w:cs="Arial"/>
          <w:i/>
        </w:rPr>
        <w:t>ir</w:t>
      </w:r>
      <w:r w:rsidR="004A469B" w:rsidRPr="00243A75">
        <w:rPr>
          <w:rFonts w:ascii="Arial" w:hAnsi="Arial" w:cs="Arial"/>
          <w:i/>
        </w:rPr>
        <w:t xml:space="preserve">ector in his </w:t>
      </w:r>
      <w:r w:rsidR="00B80FB0">
        <w:rPr>
          <w:rFonts w:ascii="Arial" w:hAnsi="Arial" w:cs="Arial"/>
          <w:i/>
        </w:rPr>
        <w:t xml:space="preserve">or her </w:t>
      </w:r>
      <w:r w:rsidR="004A469B" w:rsidRPr="00243A75">
        <w:rPr>
          <w:rFonts w:ascii="Arial" w:hAnsi="Arial" w:cs="Arial"/>
          <w:i/>
        </w:rPr>
        <w:t>place</w:t>
      </w:r>
      <w:r w:rsidR="00A63B98" w:rsidRPr="00243A75">
        <w:rPr>
          <w:rFonts w:ascii="Arial" w:hAnsi="Arial" w:cs="Arial"/>
          <w:i/>
        </w:rPr>
        <w:t xml:space="preserve"> (</w:t>
      </w:r>
      <w:r w:rsidR="00A63B98" w:rsidRPr="00243A75">
        <w:rPr>
          <w:rFonts w:ascii="Arial" w:hAnsi="Arial" w:cs="Arial"/>
          <w:b/>
          <w:i/>
        </w:rPr>
        <w:t>Investor Director</w:t>
      </w:r>
      <w:r w:rsidR="00A63B98" w:rsidRPr="00243A75">
        <w:rPr>
          <w:rFonts w:ascii="Arial" w:hAnsi="Arial" w:cs="Arial"/>
          <w:i/>
        </w:rPr>
        <w:t>)</w:t>
      </w:r>
      <w:r w:rsidR="004A469B" w:rsidRPr="00243A75">
        <w:rPr>
          <w:rFonts w:ascii="Arial" w:hAnsi="Arial" w:cs="Arial"/>
          <w:i/>
        </w:rPr>
        <w:t>; [and] [or]</w:t>
      </w:r>
    </w:p>
    <w:p w14:paraId="243F62EE" w14:textId="77777777" w:rsidR="00243A75" w:rsidRPr="00243A75" w:rsidRDefault="008C59F5" w:rsidP="007A0C4A">
      <w:pPr>
        <w:pStyle w:val="Heading4"/>
        <w:spacing w:after="200"/>
        <w:rPr>
          <w:rFonts w:ascii="Arial" w:hAnsi="Arial" w:cs="Arial"/>
          <w:i/>
        </w:rPr>
      </w:pPr>
      <w:r w:rsidRPr="00243A75">
        <w:rPr>
          <w:rFonts w:ascii="Arial" w:hAnsi="Arial" w:cs="Arial"/>
          <w:i/>
        </w:rPr>
        <w:t>to appoint a representative to attend as an observer at each and any meeting of the Board and of each and any committee of the Board who will be entitled to speak at any such meetings but will not be entitled to vote.</w:t>
      </w:r>
    </w:p>
    <w:p w14:paraId="2EC2FCF5" w14:textId="0686CAA9" w:rsidR="008C59F5" w:rsidRPr="00243A75" w:rsidRDefault="00F87180" w:rsidP="007A0C4A">
      <w:pPr>
        <w:pStyle w:val="Heading4"/>
        <w:numPr>
          <w:ilvl w:val="0"/>
          <w:numId w:val="0"/>
        </w:numPr>
        <w:spacing w:after="200"/>
        <w:ind w:left="1134"/>
        <w:rPr>
          <w:rFonts w:ascii="Arial" w:hAnsi="Arial" w:cs="Arial"/>
          <w:i/>
        </w:rPr>
      </w:pPr>
      <w:r>
        <w:rPr>
          <w:rFonts w:ascii="Arial" w:hAnsi="Arial" w:cs="Arial"/>
          <w:i/>
        </w:rPr>
        <w:t>[I</w:t>
      </w:r>
      <w:r w:rsidR="008F7F8E" w:rsidRPr="00243A75">
        <w:rPr>
          <w:rFonts w:ascii="Arial" w:hAnsi="Arial" w:cs="Arial"/>
          <w:i/>
        </w:rPr>
        <w:t>nsert</w:t>
      </w:r>
      <w:r w:rsidR="008C59F5" w:rsidRPr="00243A75">
        <w:rPr>
          <w:rFonts w:ascii="Arial" w:hAnsi="Arial" w:cs="Arial"/>
          <w:i/>
        </w:rPr>
        <w:t xml:space="preserve">] </w:t>
      </w:r>
      <w:r w:rsidR="000070D8">
        <w:rPr>
          <w:rFonts w:ascii="Arial" w:hAnsi="Arial" w:cs="Arial"/>
          <w:i/>
        </w:rPr>
        <w:t>will</w:t>
      </w:r>
      <w:r w:rsidR="000070D8" w:rsidRPr="00243A75">
        <w:rPr>
          <w:rFonts w:ascii="Arial" w:hAnsi="Arial" w:cs="Arial"/>
          <w:i/>
        </w:rPr>
        <w:t xml:space="preserve"> </w:t>
      </w:r>
      <w:r w:rsidR="008C59F5" w:rsidRPr="00243A75">
        <w:rPr>
          <w:rFonts w:ascii="Arial" w:hAnsi="Arial" w:cs="Arial"/>
          <w:i/>
        </w:rPr>
        <w:t xml:space="preserve">be deemed to be the first </w:t>
      </w:r>
      <w:r w:rsidR="00B80FB0">
        <w:rPr>
          <w:rFonts w:ascii="Arial" w:hAnsi="Arial" w:cs="Arial"/>
          <w:i/>
        </w:rPr>
        <w:t>D</w:t>
      </w:r>
      <w:r w:rsidR="008C59F5" w:rsidRPr="00243A75">
        <w:rPr>
          <w:rFonts w:ascii="Arial" w:hAnsi="Arial" w:cs="Arial"/>
          <w:i/>
        </w:rPr>
        <w:t>irector appoi</w:t>
      </w:r>
      <w:r w:rsidR="008F7F8E" w:rsidRPr="00243A75">
        <w:rPr>
          <w:rFonts w:ascii="Arial" w:hAnsi="Arial" w:cs="Arial"/>
          <w:i/>
        </w:rPr>
        <w:t xml:space="preserve">nted pursuant to this clause </w:t>
      </w:r>
      <w:r w:rsidR="00866215">
        <w:rPr>
          <w:rFonts w:ascii="Arial" w:hAnsi="Arial" w:cs="Arial"/>
          <w:i/>
        </w:rPr>
        <w:fldChar w:fldCharType="begin"/>
      </w:r>
      <w:r w:rsidR="00866215">
        <w:rPr>
          <w:rFonts w:ascii="Arial" w:hAnsi="Arial" w:cs="Arial"/>
          <w:i/>
        </w:rPr>
        <w:instrText xml:space="preserve"> REF _Ref455235777 \w \h </w:instrText>
      </w:r>
      <w:r w:rsidR="00866215">
        <w:rPr>
          <w:rFonts w:ascii="Arial" w:hAnsi="Arial" w:cs="Arial"/>
          <w:i/>
        </w:rPr>
      </w:r>
      <w:r w:rsidR="00866215">
        <w:rPr>
          <w:rFonts w:ascii="Arial" w:hAnsi="Arial" w:cs="Arial"/>
          <w:i/>
        </w:rPr>
        <w:fldChar w:fldCharType="separate"/>
      </w:r>
      <w:r w:rsidR="007E5370">
        <w:rPr>
          <w:rFonts w:ascii="Arial" w:hAnsi="Arial" w:cs="Arial"/>
          <w:i/>
        </w:rPr>
        <w:t>4.1b</w:t>
      </w:r>
      <w:r w:rsidR="00866215">
        <w:rPr>
          <w:rFonts w:ascii="Arial" w:hAnsi="Arial" w:cs="Arial"/>
          <w:i/>
        </w:rPr>
        <w:fldChar w:fldCharType="end"/>
      </w:r>
      <w:r w:rsidR="008F7F8E" w:rsidRPr="00243A75">
        <w:rPr>
          <w:rFonts w:ascii="Arial" w:hAnsi="Arial" w:cs="Arial"/>
        </w:rPr>
        <w:t>.]</w:t>
      </w:r>
    </w:p>
    <w:p w14:paraId="096F1B33" w14:textId="77777777" w:rsidR="00EC29A9" w:rsidRPr="00EC29A9" w:rsidRDefault="00EC29A9" w:rsidP="007A0C4A">
      <w:pPr>
        <w:pStyle w:val="OutlinenumberedLevel3"/>
        <w:keepNext/>
        <w:spacing w:before="0"/>
        <w:ind w:left="1134"/>
      </w:pPr>
      <w:r w:rsidRPr="00EC29A9">
        <w:t>At the date of this Agreement, the Board comprises:</w:t>
      </w:r>
    </w:p>
    <w:p w14:paraId="06731EFD" w14:textId="77777777" w:rsidR="00EC29A9" w:rsidRPr="00B43F7E" w:rsidRDefault="008F7F8E" w:rsidP="007A0C4A">
      <w:pPr>
        <w:tabs>
          <w:tab w:val="clear" w:pos="567"/>
          <w:tab w:val="left" w:pos="1134"/>
        </w:tabs>
        <w:ind w:left="1134"/>
        <w:rPr>
          <w:i/>
        </w:rPr>
      </w:pPr>
      <w:r w:rsidRPr="00D145D3">
        <w:t>[</w:t>
      </w:r>
      <w:r>
        <w:rPr>
          <w:i/>
        </w:rPr>
        <w:t>Insert name of Founder</w:t>
      </w:r>
      <w:r w:rsidRPr="00D145D3">
        <w:t>]</w:t>
      </w:r>
      <w:r w:rsidR="00A63B98">
        <w:rPr>
          <w:i/>
        </w:rPr>
        <w:t>;</w:t>
      </w:r>
    </w:p>
    <w:p w14:paraId="097890E0" w14:textId="77777777" w:rsidR="00EC29A9" w:rsidRPr="00B43F7E" w:rsidRDefault="008F7F8E" w:rsidP="007A0C4A">
      <w:pPr>
        <w:tabs>
          <w:tab w:val="clear" w:pos="567"/>
          <w:tab w:val="left" w:pos="1134"/>
        </w:tabs>
        <w:ind w:left="1134"/>
        <w:rPr>
          <w:i/>
        </w:rPr>
      </w:pPr>
      <w:r w:rsidRPr="00D145D3">
        <w:t>[</w:t>
      </w:r>
      <w:r>
        <w:rPr>
          <w:i/>
        </w:rPr>
        <w:t>Insert name of Founder</w:t>
      </w:r>
      <w:r w:rsidRPr="00D145D3">
        <w:t>]</w:t>
      </w:r>
      <w:r w:rsidR="00A63B98">
        <w:rPr>
          <w:i/>
        </w:rPr>
        <w:t>; and</w:t>
      </w:r>
      <w:r>
        <w:rPr>
          <w:i/>
        </w:rPr>
        <w:t xml:space="preserve"> </w:t>
      </w:r>
    </w:p>
    <w:p w14:paraId="715AA75B" w14:textId="77777777" w:rsidR="00A4058A" w:rsidRPr="00B43F7E" w:rsidRDefault="004A469B" w:rsidP="007A0C4A">
      <w:pPr>
        <w:tabs>
          <w:tab w:val="clear" w:pos="567"/>
          <w:tab w:val="left" w:pos="1134"/>
        </w:tabs>
        <w:ind w:left="1134"/>
        <w:rPr>
          <w:i/>
        </w:rPr>
      </w:pPr>
      <w:r w:rsidRPr="00D145D3">
        <w:t>[</w:t>
      </w:r>
      <w:r>
        <w:rPr>
          <w:i/>
        </w:rPr>
        <w:t>Investor Director</w:t>
      </w:r>
      <w:r w:rsidRPr="00D145D3">
        <w:t>]</w:t>
      </w:r>
      <w:r w:rsidR="00A63B98">
        <w:rPr>
          <w:i/>
        </w:rPr>
        <w:t>.</w:t>
      </w:r>
      <w:r w:rsidR="008C59F5">
        <w:rPr>
          <w:i/>
        </w:rPr>
        <w:t xml:space="preserve"> </w:t>
      </w:r>
    </w:p>
    <w:p w14:paraId="3DD340ED" w14:textId="7412D91D" w:rsidR="00A17E3F" w:rsidRDefault="00A17E3F" w:rsidP="007A0C4A">
      <w:pPr>
        <w:pStyle w:val="OutlinenumberedLevel3"/>
        <w:spacing w:before="0"/>
      </w:pPr>
      <w:r w:rsidRPr="005179B6">
        <w:t xml:space="preserve">The </w:t>
      </w:r>
      <w:r w:rsidR="00FD4D08" w:rsidRPr="005179B6">
        <w:t>S</w:t>
      </w:r>
      <w:r w:rsidRPr="005179B6">
        <w:t>hare</w:t>
      </w:r>
      <w:r w:rsidR="002C5345" w:rsidRPr="005179B6">
        <w:t>holders may appoint additional D</w:t>
      </w:r>
      <w:r w:rsidRPr="005179B6">
        <w:t xml:space="preserve">irectors </w:t>
      </w:r>
      <w:r w:rsidR="00FD4D08" w:rsidRPr="005179B6">
        <w:t xml:space="preserve">by ordinary resolution </w:t>
      </w:r>
      <w:r w:rsidRPr="005179B6">
        <w:t>up to t</w:t>
      </w:r>
      <w:r w:rsidR="00A72013" w:rsidRPr="005179B6">
        <w:t xml:space="preserve">he maximum stated in clause </w:t>
      </w:r>
      <w:r w:rsidR="00866215">
        <w:fldChar w:fldCharType="begin"/>
      </w:r>
      <w:r w:rsidR="00866215">
        <w:instrText xml:space="preserve"> REF _Ref455235836 \w \h </w:instrText>
      </w:r>
      <w:r w:rsidR="00866215">
        <w:fldChar w:fldCharType="separate"/>
      </w:r>
      <w:r w:rsidR="007E5370">
        <w:t>4.1a</w:t>
      </w:r>
      <w:r w:rsidR="00866215">
        <w:fldChar w:fldCharType="end"/>
      </w:r>
      <w:r w:rsidRPr="005179B6">
        <w:t>.</w:t>
      </w:r>
    </w:p>
    <w:p w14:paraId="6C6E891B" w14:textId="77777777" w:rsidR="00A61458" w:rsidRPr="001F0A4F" w:rsidRDefault="00130233" w:rsidP="007A0C4A">
      <w:pPr>
        <w:pStyle w:val="OutlinenumberedLevel3"/>
        <w:keepNext/>
        <w:spacing w:before="0"/>
        <w:ind w:left="1134"/>
      </w:pPr>
      <w:r w:rsidRPr="005179B6">
        <w:t xml:space="preserve">The </w:t>
      </w:r>
      <w:r w:rsidR="00B1549F" w:rsidRPr="005179B6">
        <w:t>B</w:t>
      </w:r>
      <w:r w:rsidR="00DA0E8B" w:rsidRPr="005179B6">
        <w:t xml:space="preserve">oard </w:t>
      </w:r>
      <w:r w:rsidR="0000486C" w:rsidRPr="005179B6">
        <w:t>will</w:t>
      </w:r>
      <w:r w:rsidR="00DA0E8B" w:rsidRPr="005179B6">
        <w:t xml:space="preserve"> appoint</w:t>
      </w:r>
      <w:r w:rsidR="002C5345" w:rsidRPr="005179B6">
        <w:t xml:space="preserve"> one of the D</w:t>
      </w:r>
      <w:r w:rsidRPr="005179B6">
        <w:t>irec</w:t>
      </w:r>
      <w:r w:rsidR="00B1549F" w:rsidRPr="005179B6">
        <w:t>tors to act as chairman of the B</w:t>
      </w:r>
      <w:r w:rsidRPr="005179B6">
        <w:t>oard on the</w:t>
      </w:r>
      <w:r w:rsidRPr="001F0A4F">
        <w:t xml:space="preserve"> following basis:</w:t>
      </w:r>
    </w:p>
    <w:p w14:paraId="678EB5CF" w14:textId="77777777" w:rsidR="00130233" w:rsidRPr="001F0A4F" w:rsidRDefault="0088380A" w:rsidP="007A0C4A">
      <w:pPr>
        <w:pStyle w:val="OutlinenumberedLevel4"/>
        <w:spacing w:before="0"/>
      </w:pPr>
      <w:r w:rsidRPr="001F0A4F">
        <w:t>h</w:t>
      </w:r>
      <w:r w:rsidR="002D4966" w:rsidRPr="001F0A4F">
        <w:t>e or she will hold office for 12</w:t>
      </w:r>
      <w:r w:rsidR="00130233" w:rsidRPr="001F0A4F">
        <w:t xml:space="preserve"> months;</w:t>
      </w:r>
    </w:p>
    <w:p w14:paraId="68E1C0B4" w14:textId="77777777" w:rsidR="00130233" w:rsidRPr="001F0A4F" w:rsidRDefault="0088380A" w:rsidP="007A0C4A">
      <w:pPr>
        <w:pStyle w:val="OutlinenumberedLevel4"/>
        <w:spacing w:before="0"/>
      </w:pPr>
      <w:r w:rsidRPr="001F0A4F">
        <w:t>e</w:t>
      </w:r>
      <w:r w:rsidR="00130233" w:rsidRPr="001F0A4F">
        <w:t xml:space="preserve">ach chairman will, at the expiry of his or her term, be eligible for re-appointment and </w:t>
      </w:r>
      <w:r w:rsidR="0000486C" w:rsidRPr="001F0A4F">
        <w:t>will</w:t>
      </w:r>
      <w:r w:rsidR="00130233" w:rsidRPr="001F0A4F">
        <w:t xml:space="preserve"> be deemed to have been removed from </w:t>
      </w:r>
      <w:r w:rsidR="0085023B" w:rsidRPr="001F0A4F">
        <w:t xml:space="preserve">that </w:t>
      </w:r>
      <w:r w:rsidR="00130233" w:rsidRPr="001F0A4F">
        <w:t>office unless he or she has been re-appointed before the end of that term;</w:t>
      </w:r>
      <w:r w:rsidRPr="001F0A4F">
        <w:t xml:space="preserve"> and</w:t>
      </w:r>
    </w:p>
    <w:p w14:paraId="37AAB8EB" w14:textId="77777777" w:rsidR="00130233" w:rsidRPr="001F0A4F" w:rsidRDefault="0088380A" w:rsidP="007A0C4A">
      <w:pPr>
        <w:pStyle w:val="OutlinenumberedLevel4"/>
        <w:spacing w:before="0"/>
      </w:pPr>
      <w:r w:rsidRPr="001F0A4F">
        <w:lastRenderedPageBreak/>
        <w:t>a</w:t>
      </w:r>
      <w:r w:rsidR="00B1549F" w:rsidRPr="001F0A4F">
        <w:t>t meetings of the B</w:t>
      </w:r>
      <w:r w:rsidR="00130233" w:rsidRPr="001F0A4F">
        <w:t>oard, the chairman will vote in hi</w:t>
      </w:r>
      <w:r w:rsidR="002C5345" w:rsidRPr="001F0A4F">
        <w:t>s or her capacity as a D</w:t>
      </w:r>
      <w:r w:rsidR="00484170" w:rsidRPr="001F0A4F">
        <w:t>irector</w:t>
      </w:r>
      <w:r w:rsidR="00130233" w:rsidRPr="001F0A4F">
        <w:t xml:space="preserve"> </w:t>
      </w:r>
      <w:r w:rsidR="00A41261" w:rsidRPr="001F0A4F">
        <w:t xml:space="preserve">only </w:t>
      </w:r>
      <w:r w:rsidR="00130233" w:rsidRPr="001F0A4F">
        <w:t>and will not have a separate casting vote</w:t>
      </w:r>
      <w:r w:rsidR="00484170" w:rsidRPr="001F0A4F">
        <w:t>.</w:t>
      </w:r>
    </w:p>
    <w:p w14:paraId="2B84EF0E" w14:textId="77777777" w:rsidR="00E60129" w:rsidRDefault="002C5345" w:rsidP="007A0C4A">
      <w:pPr>
        <w:pStyle w:val="OutlinenumberedLevel3"/>
        <w:spacing w:before="0"/>
      </w:pPr>
      <w:r w:rsidRPr="001F0A4F">
        <w:t>Each D</w:t>
      </w:r>
      <w:r w:rsidR="00E60129" w:rsidRPr="001F0A4F">
        <w:t>ir</w:t>
      </w:r>
      <w:r w:rsidR="009738DD" w:rsidRPr="001F0A4F">
        <w:t xml:space="preserve">ector may </w:t>
      </w:r>
      <w:r w:rsidR="009738DD" w:rsidRPr="005179B6">
        <w:t>appoint an alternate D</w:t>
      </w:r>
      <w:r w:rsidR="00E60129" w:rsidRPr="005179B6">
        <w:t>irector to act on his</w:t>
      </w:r>
      <w:r w:rsidR="00B80FB0">
        <w:t xml:space="preserve"> or her</w:t>
      </w:r>
      <w:r w:rsidR="00E60129" w:rsidRPr="005179B6">
        <w:t xml:space="preserve"> behalf</w:t>
      </w:r>
      <w:r w:rsidR="002078E3" w:rsidRPr="005179B6">
        <w:t xml:space="preserve"> in his</w:t>
      </w:r>
      <w:r w:rsidR="00B80FB0">
        <w:t xml:space="preserve"> or her</w:t>
      </w:r>
      <w:r w:rsidR="002078E3" w:rsidRPr="005179B6">
        <w:t xml:space="preserve"> absence</w:t>
      </w:r>
      <w:r w:rsidR="00E60129" w:rsidRPr="005179B6">
        <w:t>.</w:t>
      </w:r>
    </w:p>
    <w:p w14:paraId="25D3C434" w14:textId="77777777" w:rsidR="00B43F7E" w:rsidRPr="00B43F7E" w:rsidRDefault="00B43F7E" w:rsidP="007A0C4A">
      <w:pPr>
        <w:pStyle w:val="OutlinenumberedLevel1"/>
        <w:numPr>
          <w:ilvl w:val="0"/>
          <w:numId w:val="0"/>
        </w:numPr>
        <w:spacing w:before="0"/>
        <w:ind w:left="567"/>
        <w:rPr>
          <w:b w:val="0"/>
        </w:rPr>
      </w:pPr>
      <w:r w:rsidRPr="00B43F7E">
        <w:rPr>
          <w:rFonts w:ascii="Arial" w:hAnsi="Arial"/>
          <w:highlight w:val="lightGray"/>
        </w:rPr>
        <w:t>[</w:t>
      </w:r>
      <w:r w:rsidRPr="00B43F7E">
        <w:rPr>
          <w:rFonts w:ascii="Arial" w:hAnsi="Arial"/>
          <w:i/>
          <w:highlight w:val="lightGray"/>
        </w:rPr>
        <w:t>User note:  Delet</w:t>
      </w:r>
      <w:r w:rsidR="00F87180">
        <w:rPr>
          <w:rFonts w:ascii="Arial" w:hAnsi="Arial"/>
          <w:i/>
          <w:highlight w:val="lightGray"/>
        </w:rPr>
        <w:t xml:space="preserve">e clause 4.2 below if there is </w:t>
      </w:r>
      <w:r w:rsidRPr="00B43F7E">
        <w:rPr>
          <w:rFonts w:ascii="Arial" w:hAnsi="Arial"/>
          <w:i/>
          <w:highlight w:val="lightGray"/>
        </w:rPr>
        <w:t xml:space="preserve">no </w:t>
      </w:r>
      <w:r w:rsidR="00027D3E">
        <w:rPr>
          <w:rFonts w:ascii="Arial" w:hAnsi="Arial"/>
          <w:i/>
          <w:highlight w:val="lightGray"/>
        </w:rPr>
        <w:t>Investor</w:t>
      </w:r>
      <w:r w:rsidR="00F87180">
        <w:rPr>
          <w:rFonts w:ascii="Arial" w:hAnsi="Arial"/>
          <w:i/>
          <w:highlight w:val="lightGray"/>
        </w:rPr>
        <w:t xml:space="preserve"> Director</w:t>
      </w:r>
      <w:r w:rsidRPr="00B43F7E">
        <w:rPr>
          <w:rFonts w:ascii="Arial" w:hAnsi="Arial"/>
          <w:highlight w:val="lightGray"/>
        </w:rPr>
        <w:t>.]</w:t>
      </w:r>
    </w:p>
    <w:p w14:paraId="481AC9BE" w14:textId="774DFFFE" w:rsidR="005C57AF" w:rsidRPr="000A04B1" w:rsidRDefault="00B43F7E" w:rsidP="00404C19">
      <w:pPr>
        <w:pStyle w:val="OutlinenumberedLevel2"/>
      </w:pPr>
      <w:r w:rsidRPr="00B43F7E">
        <w:t>[</w:t>
      </w:r>
      <w:r w:rsidR="007A441F" w:rsidRPr="00A77ABA">
        <w:rPr>
          <w:b/>
          <w:i/>
        </w:rPr>
        <w:t>Quorum to include the</w:t>
      </w:r>
      <w:r w:rsidR="000A04B1" w:rsidRPr="00A77ABA">
        <w:rPr>
          <w:b/>
          <w:i/>
        </w:rPr>
        <w:t xml:space="preserve"> </w:t>
      </w:r>
      <w:r w:rsidR="00027D3E" w:rsidRPr="00A77ABA">
        <w:rPr>
          <w:b/>
          <w:i/>
        </w:rPr>
        <w:t>Investor</w:t>
      </w:r>
      <w:r w:rsidR="007A441F" w:rsidRPr="00A77ABA">
        <w:rPr>
          <w:b/>
          <w:i/>
        </w:rPr>
        <w:t xml:space="preserve"> </w:t>
      </w:r>
      <w:r w:rsidR="00AF0CC1" w:rsidRPr="00A77ABA">
        <w:rPr>
          <w:b/>
          <w:i/>
        </w:rPr>
        <w:t>Director</w:t>
      </w:r>
      <w:r w:rsidR="005C57AF" w:rsidRPr="00A77ABA">
        <w:rPr>
          <w:b/>
          <w:i/>
        </w:rPr>
        <w:t>:</w:t>
      </w:r>
      <w:r w:rsidR="005C57AF" w:rsidRPr="00A77ABA">
        <w:rPr>
          <w:i/>
        </w:rPr>
        <w:t xml:space="preserve">  A quorum for a meeting of the Board will be a majority of Directors</w:t>
      </w:r>
      <w:r w:rsidR="00B80FB0">
        <w:rPr>
          <w:i/>
        </w:rPr>
        <w:t>,</w:t>
      </w:r>
      <w:r w:rsidR="005C57AF" w:rsidRPr="00A77ABA">
        <w:rPr>
          <w:i/>
        </w:rPr>
        <w:t xml:space="preserve"> </w:t>
      </w:r>
      <w:r w:rsidR="008C59F5" w:rsidRPr="00A77ABA">
        <w:rPr>
          <w:i/>
        </w:rPr>
        <w:t xml:space="preserve">including </w:t>
      </w:r>
      <w:r w:rsidR="005C57AF" w:rsidRPr="00A77ABA">
        <w:rPr>
          <w:i/>
        </w:rPr>
        <w:t xml:space="preserve">the </w:t>
      </w:r>
      <w:r w:rsidR="00027D3E" w:rsidRPr="00A77ABA">
        <w:rPr>
          <w:i/>
        </w:rPr>
        <w:t>Investor</w:t>
      </w:r>
      <w:r w:rsidR="00AF0CC1" w:rsidRPr="00A77ABA">
        <w:rPr>
          <w:i/>
        </w:rPr>
        <w:t xml:space="preserve"> Director.</w:t>
      </w:r>
      <w:r w:rsidR="00A77ABA" w:rsidRPr="00A77ABA">
        <w:rPr>
          <w:i/>
        </w:rPr>
        <w:t xml:space="preserve">  </w:t>
      </w:r>
      <w:r w:rsidR="00EC008E" w:rsidRPr="00A77ABA">
        <w:rPr>
          <w:i/>
        </w:rPr>
        <w:t xml:space="preserve">If </w:t>
      </w:r>
      <w:r w:rsidR="00B80FB0">
        <w:rPr>
          <w:i/>
        </w:rPr>
        <w:t>a</w:t>
      </w:r>
      <w:r w:rsidR="00EC008E" w:rsidRPr="00A77ABA">
        <w:rPr>
          <w:i/>
        </w:rPr>
        <w:t xml:space="preserve"> quorum is not present within half an hour of the scheduled time of </w:t>
      </w:r>
      <w:r w:rsidR="004A2573">
        <w:rPr>
          <w:i/>
        </w:rPr>
        <w:t>a</w:t>
      </w:r>
      <w:r w:rsidR="00EC008E" w:rsidRPr="00A77ABA">
        <w:rPr>
          <w:i/>
        </w:rPr>
        <w:t xml:space="preserve"> meeting, the meeting will </w:t>
      </w:r>
      <w:r w:rsidR="00B80FB0">
        <w:rPr>
          <w:i/>
        </w:rPr>
        <w:t>automatically be</w:t>
      </w:r>
      <w:r w:rsidR="00EC008E" w:rsidRPr="00A77ABA">
        <w:rPr>
          <w:i/>
        </w:rPr>
        <w:t xml:space="preserve"> adjourned to the same day, location</w:t>
      </w:r>
      <w:r w:rsidR="00B80FB0">
        <w:rPr>
          <w:i/>
        </w:rPr>
        <w:t xml:space="preserve"> </w:t>
      </w:r>
      <w:r w:rsidR="004A2573">
        <w:rPr>
          <w:i/>
        </w:rPr>
        <w:t>a</w:t>
      </w:r>
      <w:r w:rsidR="00BC1CF7">
        <w:rPr>
          <w:i/>
        </w:rPr>
        <w:t xml:space="preserve">nd time on the following week.  </w:t>
      </w:r>
      <w:r w:rsidR="004A2573">
        <w:rPr>
          <w:i/>
        </w:rPr>
        <w:t>I</w:t>
      </w:r>
      <w:r w:rsidR="00B80FB0">
        <w:rPr>
          <w:i/>
        </w:rPr>
        <w:t>f that day</w:t>
      </w:r>
      <w:r w:rsidR="00EC008E" w:rsidRPr="00A77ABA">
        <w:rPr>
          <w:i/>
        </w:rPr>
        <w:t xml:space="preserve"> is not a Business Day, the meeting will be held on the next Business Day. </w:t>
      </w:r>
      <w:r w:rsidR="00B80FB0">
        <w:rPr>
          <w:i/>
        </w:rPr>
        <w:t xml:space="preserve"> </w:t>
      </w:r>
      <w:r w:rsidR="00EC008E" w:rsidRPr="00A77ABA">
        <w:rPr>
          <w:i/>
        </w:rPr>
        <w:t xml:space="preserve">The Directors present at </w:t>
      </w:r>
      <w:r w:rsidR="004A2573">
        <w:rPr>
          <w:i/>
        </w:rPr>
        <w:t>an</w:t>
      </w:r>
      <w:r w:rsidR="00EC008E" w:rsidRPr="00A77ABA">
        <w:rPr>
          <w:i/>
        </w:rPr>
        <w:t xml:space="preserve"> adjourned meeting will constitute </w:t>
      </w:r>
      <w:r w:rsidR="004A2573">
        <w:rPr>
          <w:i/>
        </w:rPr>
        <w:t>a</w:t>
      </w:r>
      <w:r w:rsidR="00EC008E" w:rsidRPr="00A77ABA">
        <w:rPr>
          <w:i/>
        </w:rPr>
        <w:t xml:space="preserve"> quorum for </w:t>
      </w:r>
      <w:r w:rsidR="00B80FB0">
        <w:rPr>
          <w:i/>
        </w:rPr>
        <w:t>that</w:t>
      </w:r>
      <w:r w:rsidR="00EC008E" w:rsidRPr="00A77ABA">
        <w:rPr>
          <w:i/>
        </w:rPr>
        <w:t xml:space="preserve"> meeting</w:t>
      </w:r>
      <w:r w:rsidR="00B80FB0">
        <w:rPr>
          <w:i/>
        </w:rPr>
        <w:t>.  None of the</w:t>
      </w:r>
      <w:r w:rsidR="00EC008E" w:rsidRPr="00A77ABA">
        <w:rPr>
          <w:i/>
        </w:rPr>
        <w:t xml:space="preserve"> matter</w:t>
      </w:r>
      <w:r w:rsidR="00B80FB0">
        <w:rPr>
          <w:i/>
        </w:rPr>
        <w:t>s</w:t>
      </w:r>
      <w:r w:rsidR="00EC008E" w:rsidRPr="00A77ABA">
        <w:rPr>
          <w:i/>
        </w:rPr>
        <w:t xml:space="preserve"> set out in clause </w:t>
      </w:r>
      <w:r w:rsidR="00EC008E" w:rsidRPr="00A77ABA">
        <w:rPr>
          <w:i/>
        </w:rPr>
        <w:fldChar w:fldCharType="begin"/>
      </w:r>
      <w:r w:rsidR="00EC008E" w:rsidRPr="00A77ABA">
        <w:rPr>
          <w:i/>
        </w:rPr>
        <w:instrText xml:space="preserve"> REF _Ref455235907 \r \h </w:instrText>
      </w:r>
      <w:r w:rsidR="00EC008E" w:rsidRPr="00A77ABA">
        <w:rPr>
          <w:i/>
        </w:rPr>
      </w:r>
      <w:r w:rsidR="00EC008E" w:rsidRPr="00A77ABA">
        <w:rPr>
          <w:i/>
        </w:rPr>
        <w:fldChar w:fldCharType="separate"/>
      </w:r>
      <w:r w:rsidR="007E5370">
        <w:rPr>
          <w:i/>
        </w:rPr>
        <w:t>6.1</w:t>
      </w:r>
      <w:r w:rsidR="00EC008E" w:rsidRPr="00A77ABA">
        <w:rPr>
          <w:i/>
        </w:rPr>
        <w:fldChar w:fldCharType="end"/>
      </w:r>
      <w:r w:rsidR="00EC008E" w:rsidRPr="00A77ABA">
        <w:rPr>
          <w:i/>
        </w:rPr>
        <w:t xml:space="preserve"> will be </w:t>
      </w:r>
      <w:r w:rsidR="00B80FB0">
        <w:rPr>
          <w:i/>
        </w:rPr>
        <w:t>voted on at any</w:t>
      </w:r>
      <w:r w:rsidR="00EC008E" w:rsidRPr="00A77ABA">
        <w:rPr>
          <w:i/>
        </w:rPr>
        <w:t xml:space="preserve"> adjourned meeting without the prior written approval of the Investor Director.</w:t>
      </w:r>
      <w:r>
        <w:t>]</w:t>
      </w:r>
    </w:p>
    <w:p w14:paraId="46BA6978" w14:textId="0FA0EE48" w:rsidR="007D321F" w:rsidRDefault="007D321F" w:rsidP="007A0C4A">
      <w:pPr>
        <w:pStyle w:val="OutlinenumberedLevel2"/>
        <w:spacing w:before="0"/>
      </w:pPr>
      <w:r w:rsidRPr="0066228A">
        <w:rPr>
          <w:b/>
        </w:rPr>
        <w:t>Board meetings:</w:t>
      </w:r>
      <w:r w:rsidR="00CA2E2E">
        <w:t xml:space="preserve">  The Board will meet [</w:t>
      </w:r>
      <w:r w:rsidR="00CA2E2E" w:rsidRPr="00CA2E2E">
        <w:rPr>
          <w:i/>
        </w:rPr>
        <w:t>every 2 months</w:t>
      </w:r>
      <w:r w:rsidR="00CA2E2E">
        <w:t>]</w:t>
      </w:r>
      <w:r w:rsidRPr="001F0A4F">
        <w:t xml:space="preserve"> or as otherwise agreed by the Board.  Board meetings may take place in person or by audio or audio and visual communication as permitted by the Company’s </w:t>
      </w:r>
      <w:r w:rsidR="00836897">
        <w:t>C</w:t>
      </w:r>
      <w:r w:rsidRPr="001F0A4F">
        <w:t xml:space="preserve">onstitution.  Subject to clause </w:t>
      </w:r>
      <w:r w:rsidR="00866215">
        <w:fldChar w:fldCharType="begin"/>
      </w:r>
      <w:r w:rsidR="00866215">
        <w:instrText xml:space="preserve"> REF _Ref455235871 \w \h </w:instrText>
      </w:r>
      <w:r w:rsidR="00866215">
        <w:fldChar w:fldCharType="separate"/>
      </w:r>
      <w:r w:rsidR="007E5370">
        <w:t>6</w:t>
      </w:r>
      <w:r w:rsidR="00866215">
        <w:fldChar w:fldCharType="end"/>
      </w:r>
      <w:r w:rsidRPr="001F0A4F">
        <w:t xml:space="preserve"> or where expressly provided in this Agreement, decisions will b</w:t>
      </w:r>
      <w:r w:rsidR="00F3444A" w:rsidRPr="001F0A4F">
        <w:t>e by majority vote.</w:t>
      </w:r>
      <w:r w:rsidR="00A3453B" w:rsidRPr="001F0A4F">
        <w:t xml:space="preserve">  The Company must</w:t>
      </w:r>
      <w:r w:rsidR="00A63B98">
        <w:t>,</w:t>
      </w:r>
      <w:r w:rsidR="00A3453B" w:rsidRPr="001F0A4F">
        <w:t xml:space="preserve"> at least five</w:t>
      </w:r>
      <w:r w:rsidR="00F73A6D" w:rsidRPr="001F0A4F">
        <w:t xml:space="preserve"> </w:t>
      </w:r>
      <w:r w:rsidRPr="001F0A4F">
        <w:t>Business Days before each Boar</w:t>
      </w:r>
      <w:r w:rsidR="002C5345" w:rsidRPr="001F0A4F">
        <w:t>d meeting provide each D</w:t>
      </w:r>
      <w:r w:rsidR="00780DDD" w:rsidRPr="001F0A4F">
        <w:t>irector with an agenda, all relevant B</w:t>
      </w:r>
      <w:r w:rsidRPr="001F0A4F">
        <w:t>oard papers for that meeting and any other information requested by the Board.</w:t>
      </w:r>
    </w:p>
    <w:p w14:paraId="786D0C90" w14:textId="77777777" w:rsidR="00B43F7E" w:rsidRPr="00B43F7E" w:rsidRDefault="00B43F7E" w:rsidP="007A0C4A">
      <w:pPr>
        <w:pStyle w:val="OutlinenumberedLevel1"/>
        <w:numPr>
          <w:ilvl w:val="0"/>
          <w:numId w:val="0"/>
        </w:numPr>
        <w:spacing w:before="0"/>
        <w:ind w:left="567"/>
        <w:rPr>
          <w:rFonts w:ascii="Arial" w:hAnsi="Arial"/>
        </w:rPr>
      </w:pPr>
      <w:r w:rsidRPr="00B43F7E">
        <w:rPr>
          <w:rFonts w:ascii="Arial" w:hAnsi="Arial"/>
          <w:highlight w:val="lightGray"/>
        </w:rPr>
        <w:t>[</w:t>
      </w:r>
      <w:r w:rsidRPr="00B43F7E">
        <w:rPr>
          <w:rFonts w:ascii="Arial" w:hAnsi="Arial"/>
          <w:i/>
          <w:highlight w:val="lightGray"/>
        </w:rPr>
        <w:t xml:space="preserve">User note:  Clause 4.4 below relates to directors’ fees.  Generally, founder directors of early stage companies are not paid a directors’ fee.  </w:t>
      </w:r>
      <w:r w:rsidR="00F87180">
        <w:rPr>
          <w:rFonts w:ascii="Arial" w:hAnsi="Arial"/>
          <w:i/>
          <w:highlight w:val="lightGray"/>
        </w:rPr>
        <w:t>Check the c</w:t>
      </w:r>
      <w:r w:rsidRPr="00B43F7E">
        <w:rPr>
          <w:rFonts w:ascii="Arial" w:hAnsi="Arial"/>
          <w:i/>
          <w:highlight w:val="lightGray"/>
        </w:rPr>
        <w:t>ompany’s constitution</w:t>
      </w:r>
      <w:r w:rsidR="00DA54F4">
        <w:rPr>
          <w:rFonts w:ascii="Arial" w:hAnsi="Arial"/>
          <w:i/>
          <w:highlight w:val="lightGray"/>
        </w:rPr>
        <w:t xml:space="preserve"> or articles of association (as applicable)</w:t>
      </w:r>
      <w:r w:rsidRPr="00B43F7E">
        <w:rPr>
          <w:rFonts w:ascii="Arial" w:hAnsi="Arial"/>
          <w:i/>
          <w:highlight w:val="lightGray"/>
        </w:rPr>
        <w:t xml:space="preserve"> to ensure that the board has the right to</w:t>
      </w:r>
      <w:r w:rsidR="00DA54F4">
        <w:rPr>
          <w:rFonts w:ascii="Arial" w:hAnsi="Arial"/>
          <w:i/>
          <w:highlight w:val="lightGray"/>
        </w:rPr>
        <w:t xml:space="preserve"> set directors’ remuneration.</w:t>
      </w:r>
      <w:r w:rsidR="00A63B98">
        <w:rPr>
          <w:rFonts w:ascii="Arial" w:hAnsi="Arial"/>
          <w:highlight w:val="lightGray"/>
        </w:rPr>
        <w:t>]</w:t>
      </w:r>
      <w:r w:rsidR="00DA54F4">
        <w:rPr>
          <w:rFonts w:ascii="Arial" w:hAnsi="Arial"/>
          <w:i/>
          <w:highlight w:val="lightGray"/>
        </w:rPr>
        <w:t xml:space="preserve"> </w:t>
      </w:r>
    </w:p>
    <w:p w14:paraId="0A87E6B4" w14:textId="77777777" w:rsidR="00484170" w:rsidRDefault="00B43F7E" w:rsidP="007A0C4A">
      <w:pPr>
        <w:pStyle w:val="OutlinenumberedLevel2"/>
        <w:spacing w:before="0"/>
      </w:pPr>
      <w:bookmarkStart w:id="7" w:name="_Ref455235887"/>
      <w:r>
        <w:t>[</w:t>
      </w:r>
      <w:r w:rsidR="009738DD" w:rsidRPr="00B43F7E">
        <w:rPr>
          <w:b/>
          <w:i/>
        </w:rPr>
        <w:t>No D</w:t>
      </w:r>
      <w:r w:rsidR="00484170" w:rsidRPr="00B43F7E">
        <w:rPr>
          <w:b/>
          <w:i/>
        </w:rPr>
        <w:t>irectors</w:t>
      </w:r>
      <w:r w:rsidR="009177AF" w:rsidRPr="00B43F7E">
        <w:rPr>
          <w:b/>
          <w:i/>
        </w:rPr>
        <w:t>’</w:t>
      </w:r>
      <w:r w:rsidR="00484170" w:rsidRPr="00B43F7E">
        <w:rPr>
          <w:b/>
          <w:i/>
        </w:rPr>
        <w:t xml:space="preserve"> fees:</w:t>
      </w:r>
      <w:r w:rsidR="00484170" w:rsidRPr="00B43F7E">
        <w:rPr>
          <w:i/>
        </w:rPr>
        <w:t xml:space="preserve">  Directors will </w:t>
      </w:r>
      <w:r w:rsidR="00B1549F" w:rsidRPr="00B43F7E">
        <w:rPr>
          <w:i/>
        </w:rPr>
        <w:t>not receive fees for attending B</w:t>
      </w:r>
      <w:r w:rsidR="00484170" w:rsidRPr="00B43F7E">
        <w:rPr>
          <w:i/>
        </w:rPr>
        <w:t xml:space="preserve">oard meetings.  Directors who are also executives of </w:t>
      </w:r>
      <w:r w:rsidR="00B1549F" w:rsidRPr="00B43F7E">
        <w:rPr>
          <w:i/>
        </w:rPr>
        <w:t>the Company</w:t>
      </w:r>
      <w:r w:rsidR="00484170" w:rsidRPr="00B43F7E">
        <w:rPr>
          <w:i/>
        </w:rPr>
        <w:t xml:space="preserve"> will not recei</w:t>
      </w:r>
      <w:r w:rsidR="00B1549F" w:rsidRPr="00B43F7E">
        <w:rPr>
          <w:i/>
        </w:rPr>
        <w:t>ve additional remuneration for B</w:t>
      </w:r>
      <w:r w:rsidR="00484170" w:rsidRPr="00B43F7E">
        <w:rPr>
          <w:i/>
        </w:rPr>
        <w:t>oard duties.</w:t>
      </w:r>
      <w:r>
        <w:t>]</w:t>
      </w:r>
      <w:bookmarkEnd w:id="7"/>
    </w:p>
    <w:p w14:paraId="1AAA3A92" w14:textId="77777777" w:rsidR="00B43F7E" w:rsidRPr="00B43F7E" w:rsidRDefault="00B43F7E" w:rsidP="007A0C4A">
      <w:pPr>
        <w:pStyle w:val="OutlinenumberedLevel1"/>
        <w:numPr>
          <w:ilvl w:val="0"/>
          <w:numId w:val="0"/>
        </w:numPr>
        <w:spacing w:before="0"/>
        <w:ind w:left="567"/>
        <w:rPr>
          <w:rFonts w:ascii="Arial" w:hAnsi="Arial"/>
        </w:rPr>
      </w:pPr>
      <w:r w:rsidRPr="00B43F7E">
        <w:rPr>
          <w:rFonts w:ascii="Arial" w:hAnsi="Arial"/>
        </w:rPr>
        <w:t>OR</w:t>
      </w:r>
    </w:p>
    <w:p w14:paraId="0F95A8D7" w14:textId="77777777" w:rsidR="00B43F7E" w:rsidRPr="00B43F7E" w:rsidRDefault="00B43F7E" w:rsidP="007A0C4A">
      <w:pPr>
        <w:pStyle w:val="OutlinenumberedLevel1"/>
        <w:keepNext w:val="0"/>
        <w:numPr>
          <w:ilvl w:val="0"/>
          <w:numId w:val="0"/>
        </w:numPr>
        <w:spacing w:before="0"/>
        <w:ind w:left="567"/>
        <w:rPr>
          <w:rFonts w:ascii="Arial" w:hAnsi="Arial"/>
          <w:color w:val="auto"/>
        </w:rPr>
      </w:pPr>
      <w:r w:rsidRPr="00B43F7E">
        <w:rPr>
          <w:rFonts w:ascii="Arial" w:hAnsi="Arial"/>
          <w:b w:val="0"/>
          <w:color w:val="auto"/>
        </w:rPr>
        <w:t>[</w:t>
      </w:r>
      <w:r w:rsidRPr="00B43F7E">
        <w:rPr>
          <w:rFonts w:ascii="Arial" w:hAnsi="Arial"/>
          <w:color w:val="auto"/>
        </w:rPr>
        <w:t xml:space="preserve">Directors’ fees:  </w:t>
      </w:r>
      <w:r w:rsidRPr="00B43F7E">
        <w:rPr>
          <w:rFonts w:ascii="Arial" w:hAnsi="Arial"/>
          <w:b w:val="0"/>
          <w:i/>
          <w:color w:val="auto"/>
        </w:rPr>
        <w:t>All non-executive Directors will be paid Board fees of $[insert amount] per month but otherwise attendance at Board meetings will not be remunerated</w:t>
      </w:r>
      <w:r w:rsidRPr="00B43F7E">
        <w:rPr>
          <w:rFonts w:ascii="Arial" w:hAnsi="Arial"/>
          <w:b w:val="0"/>
          <w:color w:val="auto"/>
        </w:rPr>
        <w:t>.]</w:t>
      </w:r>
    </w:p>
    <w:p w14:paraId="7B7B039D" w14:textId="15638A00" w:rsidR="007A441F" w:rsidRPr="007A441F" w:rsidRDefault="00A273D1" w:rsidP="007A0C4A">
      <w:pPr>
        <w:pStyle w:val="OutlinenumberedLevel2"/>
        <w:spacing w:before="0"/>
        <w:rPr>
          <w:rFonts w:eastAsia="MS Mincho"/>
        </w:rPr>
      </w:pPr>
      <w:r w:rsidRPr="0066228A">
        <w:rPr>
          <w:b/>
        </w:rPr>
        <w:t>Director e</w:t>
      </w:r>
      <w:r w:rsidR="00DA0446" w:rsidRPr="0066228A">
        <w:rPr>
          <w:b/>
        </w:rPr>
        <w:t>xpenses:</w:t>
      </w:r>
      <w:r w:rsidR="00DA0446" w:rsidRPr="00967151">
        <w:t xml:space="preserve">  </w:t>
      </w:r>
      <w:r w:rsidR="006C0E32">
        <w:t>Despite</w:t>
      </w:r>
      <w:r w:rsidR="006C0E32" w:rsidRPr="00967151">
        <w:t xml:space="preserve"> </w:t>
      </w:r>
      <w:r w:rsidR="00DA0446" w:rsidRPr="00967151">
        <w:t xml:space="preserve">clause </w:t>
      </w:r>
      <w:r w:rsidR="00866215">
        <w:fldChar w:fldCharType="begin"/>
      </w:r>
      <w:r w:rsidR="00866215">
        <w:instrText xml:space="preserve"> REF _Ref455235887 \w \h </w:instrText>
      </w:r>
      <w:r w:rsidR="00866215">
        <w:fldChar w:fldCharType="separate"/>
      </w:r>
      <w:r w:rsidR="007E5370">
        <w:t>4.4</w:t>
      </w:r>
      <w:r w:rsidR="00866215">
        <w:fldChar w:fldCharType="end"/>
      </w:r>
      <w:r w:rsidR="00DA0446" w:rsidRPr="00967151">
        <w:t xml:space="preserve">, </w:t>
      </w:r>
      <w:r w:rsidR="009738DD" w:rsidRPr="00967151">
        <w:rPr>
          <w:rFonts w:eastAsia="MS Mincho"/>
        </w:rPr>
        <w:t>each D</w:t>
      </w:r>
      <w:r w:rsidR="00DA0446" w:rsidRPr="00967151">
        <w:rPr>
          <w:rFonts w:eastAsia="MS Mincho"/>
        </w:rPr>
        <w:t xml:space="preserve">irector </w:t>
      </w:r>
      <w:r w:rsidR="0000486C" w:rsidRPr="00967151">
        <w:t>will</w:t>
      </w:r>
      <w:r w:rsidR="00DA0446" w:rsidRPr="00967151">
        <w:t xml:space="preserve"> be entitled to have expenses </w:t>
      </w:r>
      <w:r w:rsidR="00BF5CDC" w:rsidRPr="00967151">
        <w:t xml:space="preserve">reasonably and properly </w:t>
      </w:r>
      <w:r w:rsidR="00DA0446" w:rsidRPr="00967151">
        <w:t>incurre</w:t>
      </w:r>
      <w:r w:rsidR="009177AF" w:rsidRPr="00967151">
        <w:t>d i</w:t>
      </w:r>
      <w:r w:rsidR="009738DD" w:rsidRPr="00967151">
        <w:t>n attending meetings of the D</w:t>
      </w:r>
      <w:r w:rsidR="00DA0446" w:rsidRPr="00967151">
        <w:t>irectors and otherwise in relation to the discharge of duties reimbursed by the Company.</w:t>
      </w:r>
    </w:p>
    <w:p w14:paraId="39469120" w14:textId="77777777" w:rsidR="003C5CFA" w:rsidRPr="005179B6" w:rsidRDefault="00004147" w:rsidP="007A0C4A">
      <w:pPr>
        <w:pStyle w:val="OutlinenumberedLevel1"/>
        <w:spacing w:before="0"/>
        <w:rPr>
          <w:b w:val="0"/>
        </w:rPr>
      </w:pPr>
      <w:bookmarkStart w:id="8" w:name="_Ref455235740"/>
      <w:r w:rsidRPr="001F0A4F">
        <w:t>BUSINESS PLAN, REPORTING, FINANCIAL STATEMENTS</w:t>
      </w:r>
      <w:bookmarkEnd w:id="8"/>
    </w:p>
    <w:p w14:paraId="633A5276" w14:textId="77777777" w:rsidR="003C5CFA" w:rsidRPr="005179B6" w:rsidRDefault="003C5CFA" w:rsidP="007A0C4A">
      <w:pPr>
        <w:pStyle w:val="OutlinenumberedLevel2"/>
        <w:numPr>
          <w:ilvl w:val="1"/>
          <w:numId w:val="5"/>
        </w:numPr>
        <w:spacing w:before="0"/>
      </w:pPr>
      <w:r w:rsidRPr="005179B6">
        <w:rPr>
          <w:b/>
        </w:rPr>
        <w:t>Business Plan:</w:t>
      </w:r>
      <w:r w:rsidRPr="005179B6">
        <w:t xml:space="preserve">  Where a Business Plan has been adopted, the Company must operate, and the Business must be </w:t>
      </w:r>
      <w:r w:rsidR="00FF78FE">
        <w:t xml:space="preserve">materially </w:t>
      </w:r>
      <w:r w:rsidRPr="005179B6">
        <w:t>conducted, in accordance with the Business Plan, unless otherwise approved by the Board.</w:t>
      </w:r>
    </w:p>
    <w:p w14:paraId="4F7A70E7" w14:textId="6BC7983A" w:rsidR="003C5CFA" w:rsidRPr="005179B6" w:rsidRDefault="00FA1C39" w:rsidP="007A0C4A">
      <w:pPr>
        <w:pStyle w:val="OutlinenumberedLevel2"/>
        <w:spacing w:before="0"/>
      </w:pPr>
      <w:r>
        <w:rPr>
          <w:b/>
        </w:rPr>
        <w:lastRenderedPageBreak/>
        <w:t>Adoption of annual Business Plan</w:t>
      </w:r>
      <w:r w:rsidR="003C5CFA" w:rsidRPr="005179B6">
        <w:rPr>
          <w:b/>
        </w:rPr>
        <w:t>:</w:t>
      </w:r>
      <w:r w:rsidR="003C5CFA" w:rsidRPr="005179B6">
        <w:t xml:space="preserve"> At least </w:t>
      </w:r>
      <w:r w:rsidR="0009450C">
        <w:t>30 days</w:t>
      </w:r>
      <w:r w:rsidR="003C5CFA" w:rsidRPr="005179B6">
        <w:t xml:space="preserve"> prior to </w:t>
      </w:r>
      <w:r w:rsidR="0085023B" w:rsidRPr="005179B6">
        <w:t xml:space="preserve">the end of </w:t>
      </w:r>
      <w:r w:rsidR="00514569">
        <w:t xml:space="preserve">each </w:t>
      </w:r>
      <w:r w:rsidR="003C5CFA" w:rsidRPr="005179B6">
        <w:t xml:space="preserve">financial year, the Company must (unless otherwise approved by the Board) prepare a budget and business plan for the following financial year which must be approved by the Board </w:t>
      </w:r>
      <w:r w:rsidR="00B43F7E">
        <w:t>[</w:t>
      </w:r>
      <w:r w:rsidR="00B43F7E">
        <w:rPr>
          <w:i/>
        </w:rPr>
        <w:t xml:space="preserve">and the </w:t>
      </w:r>
      <w:r w:rsidR="00027D3E">
        <w:rPr>
          <w:i/>
        </w:rPr>
        <w:t>Investor</w:t>
      </w:r>
      <w:r w:rsidR="007A441F">
        <w:rPr>
          <w:i/>
        </w:rPr>
        <w:t xml:space="preserve"> Director</w:t>
      </w:r>
      <w:r w:rsidR="00CA2E2E">
        <w:rPr>
          <w:i/>
        </w:rPr>
        <w:t xml:space="preserve"> </w:t>
      </w:r>
      <w:r w:rsidR="002D3030">
        <w:rPr>
          <w:i/>
        </w:rPr>
        <w:t>(</w:t>
      </w:r>
      <w:r w:rsidR="00CA2E2E">
        <w:rPr>
          <w:i/>
        </w:rPr>
        <w:t>acting reasonably</w:t>
      </w:r>
      <w:r w:rsidR="002D3030">
        <w:rPr>
          <w:i/>
        </w:rPr>
        <w:t>)</w:t>
      </w:r>
      <w:r w:rsidR="00B43F7E">
        <w:t>]</w:t>
      </w:r>
      <w:r w:rsidR="00B43F7E">
        <w:rPr>
          <w:i/>
        </w:rPr>
        <w:t xml:space="preserve"> </w:t>
      </w:r>
      <w:r w:rsidR="003C5CFA" w:rsidRPr="005179B6">
        <w:t xml:space="preserve">before it takes effect.  If a new business plan and budget is not approved, the last approved Business Plan </w:t>
      </w:r>
      <w:r w:rsidR="00514569">
        <w:t xml:space="preserve">(if any) </w:t>
      </w:r>
      <w:r w:rsidR="003C5CFA" w:rsidRPr="005179B6">
        <w:t>will continue in force.</w:t>
      </w:r>
    </w:p>
    <w:p w14:paraId="274A274F" w14:textId="77777777" w:rsidR="00524494" w:rsidRPr="001F0A4F" w:rsidRDefault="00524494" w:rsidP="007A0C4A">
      <w:pPr>
        <w:pStyle w:val="OutlinenumberedLevel2"/>
        <w:keepNext/>
        <w:spacing w:before="0"/>
      </w:pPr>
      <w:r w:rsidRPr="0066228A">
        <w:rPr>
          <w:b/>
        </w:rPr>
        <w:t>Regular Reporting:</w:t>
      </w:r>
      <w:r w:rsidRPr="001F0A4F">
        <w:t xml:space="preserve">  The Company </w:t>
      </w:r>
      <w:r w:rsidR="00940DB2" w:rsidRPr="001F0A4F">
        <w:t>must provide</w:t>
      </w:r>
      <w:r w:rsidRPr="001F0A4F">
        <w:t xml:space="preserve"> </w:t>
      </w:r>
      <w:r w:rsidR="006B4182" w:rsidRPr="001F0A4F">
        <w:t xml:space="preserve">the following reports to </w:t>
      </w:r>
      <w:r w:rsidR="004D22D2" w:rsidRPr="001F0A4F">
        <w:t xml:space="preserve">the </w:t>
      </w:r>
      <w:r w:rsidR="009738DD" w:rsidRPr="001F0A4F">
        <w:t>D</w:t>
      </w:r>
      <w:r w:rsidR="004D22D2" w:rsidRPr="001F0A4F">
        <w:t>irectors</w:t>
      </w:r>
      <w:r w:rsidR="00B1549F" w:rsidRPr="001F0A4F">
        <w:t xml:space="preserve"> </w:t>
      </w:r>
      <w:r w:rsidR="00940DB2" w:rsidRPr="001F0A4F">
        <w:t>with</w:t>
      </w:r>
      <w:r w:rsidR="00AF5D03" w:rsidRPr="001F0A4F">
        <w:t>in</w:t>
      </w:r>
      <w:r w:rsidR="00940DB2" w:rsidRPr="001F0A4F">
        <w:t xml:space="preserve"> </w:t>
      </w:r>
      <w:r w:rsidR="00525D1D" w:rsidRPr="001F0A4F">
        <w:t xml:space="preserve">ten </w:t>
      </w:r>
      <w:r w:rsidR="002078E3" w:rsidRPr="001F0A4F">
        <w:t>Business D</w:t>
      </w:r>
      <w:r w:rsidR="00704C67" w:rsidRPr="001F0A4F">
        <w:t>ays following</w:t>
      </w:r>
      <w:r w:rsidR="00940DB2" w:rsidRPr="001F0A4F">
        <w:t xml:space="preserve"> the end of </w:t>
      </w:r>
      <w:r w:rsidR="0009012F" w:rsidRPr="001F0A4F">
        <w:t>each month</w:t>
      </w:r>
      <w:r w:rsidR="006B4182" w:rsidRPr="001F0A4F">
        <w:t>:</w:t>
      </w:r>
    </w:p>
    <w:p w14:paraId="62D2CFEC" w14:textId="77777777" w:rsidR="009D0DAC" w:rsidRPr="001F0A4F" w:rsidRDefault="00B3251D" w:rsidP="007A0C4A">
      <w:pPr>
        <w:pStyle w:val="OutlinenumberedLevel3"/>
        <w:spacing w:before="0"/>
      </w:pPr>
      <w:r w:rsidRPr="001F0A4F">
        <w:t>m</w:t>
      </w:r>
      <w:r w:rsidR="006B4182" w:rsidRPr="001F0A4F">
        <w:t xml:space="preserve">onthly </w:t>
      </w:r>
      <w:r w:rsidR="00B1549F" w:rsidRPr="001F0A4F">
        <w:t xml:space="preserve">balance sheet, profit and loss statements and </w:t>
      </w:r>
      <w:r w:rsidR="006B4182" w:rsidRPr="001F0A4F">
        <w:t xml:space="preserve">cashflow statements, </w:t>
      </w:r>
      <w:r w:rsidR="00B1549F" w:rsidRPr="001F0A4F">
        <w:t xml:space="preserve">including </w:t>
      </w:r>
      <w:r w:rsidR="00BA7734" w:rsidRPr="001F0A4F">
        <w:t xml:space="preserve">performance </w:t>
      </w:r>
      <w:r w:rsidR="00B1549F" w:rsidRPr="001F0A4F">
        <w:t xml:space="preserve">against budget </w:t>
      </w:r>
      <w:r w:rsidR="006B4182" w:rsidRPr="001F0A4F">
        <w:t>and a rolling 12 month forward cashflow forecast</w:t>
      </w:r>
      <w:r w:rsidR="009D0DAC" w:rsidRPr="001F0A4F">
        <w:t>;</w:t>
      </w:r>
    </w:p>
    <w:p w14:paraId="4C7F82DA" w14:textId="77777777" w:rsidR="006B4182" w:rsidRPr="001F0A4F" w:rsidRDefault="00B3251D" w:rsidP="007A0C4A">
      <w:pPr>
        <w:pStyle w:val="OutlinenumberedLevel3"/>
        <w:spacing w:before="0"/>
      </w:pPr>
      <w:r w:rsidRPr="001F0A4F">
        <w:t>a</w:t>
      </w:r>
      <w:r w:rsidR="009D0DAC" w:rsidRPr="001F0A4F">
        <w:t xml:space="preserve"> </w:t>
      </w:r>
      <w:r w:rsidR="006B4182" w:rsidRPr="001F0A4F">
        <w:t>management report</w:t>
      </w:r>
      <w:r w:rsidR="00BA7734" w:rsidRPr="001F0A4F">
        <w:t xml:space="preserve"> including details of performance against the Business Plan</w:t>
      </w:r>
      <w:r w:rsidR="006B4182" w:rsidRPr="001F0A4F">
        <w:t>;</w:t>
      </w:r>
      <w:r w:rsidR="00B1549F" w:rsidRPr="001F0A4F">
        <w:t xml:space="preserve"> and</w:t>
      </w:r>
    </w:p>
    <w:p w14:paraId="52CBB12C" w14:textId="77777777" w:rsidR="00B80FB0" w:rsidRDefault="00B1549F" w:rsidP="00B80FB0">
      <w:pPr>
        <w:pStyle w:val="OutlinenumberedLevel3"/>
      </w:pPr>
      <w:r w:rsidRPr="001F0A4F">
        <w:t xml:space="preserve">other information reasonably requested by </w:t>
      </w:r>
      <w:r w:rsidR="00792E84" w:rsidRPr="001F0A4F">
        <w:t>the Board</w:t>
      </w:r>
      <w:r w:rsidRPr="001F0A4F">
        <w:t>.</w:t>
      </w:r>
    </w:p>
    <w:p w14:paraId="25EC40C8" w14:textId="46C84902" w:rsidR="009D0DAC" w:rsidRPr="008B7C99" w:rsidRDefault="009D0DAC" w:rsidP="00B80FB0">
      <w:pPr>
        <w:pStyle w:val="OutlinenumberedLevel2"/>
      </w:pPr>
      <w:r w:rsidRPr="00B80FB0">
        <w:rPr>
          <w:b/>
        </w:rPr>
        <w:t>Financial statements:</w:t>
      </w:r>
      <w:r w:rsidRPr="001F0A4F">
        <w:t xml:space="preserve"> </w:t>
      </w:r>
      <w:r w:rsidR="00F52515" w:rsidRPr="001F0A4F">
        <w:t xml:space="preserve"> </w:t>
      </w:r>
      <w:r w:rsidR="004A2573">
        <w:t xml:space="preserve">Within 60 Business Days from the end of each financial year, the </w:t>
      </w:r>
      <w:r w:rsidRPr="001F0A4F">
        <w:t xml:space="preserve">Company </w:t>
      </w:r>
      <w:r w:rsidR="0000486C" w:rsidRPr="001F0A4F">
        <w:t>must</w:t>
      </w:r>
      <w:r w:rsidRPr="001F0A4F">
        <w:t xml:space="preserve"> ensure that</w:t>
      </w:r>
      <w:r w:rsidR="004A2573">
        <w:t xml:space="preserve"> </w:t>
      </w:r>
      <w:r w:rsidR="00B80FB0" w:rsidRPr="001F0A4F">
        <w:t>financial statements for that year</w:t>
      </w:r>
      <w:r w:rsidR="00B80FB0">
        <w:t xml:space="preserve"> are </w:t>
      </w:r>
      <w:r w:rsidR="00B80FB0" w:rsidRPr="008B7C99">
        <w:t xml:space="preserve">prepared in accordance with accounting principles, standards and practices generally accepted in </w:t>
      </w:r>
      <w:r w:rsidR="00B80FB0">
        <w:t>[</w:t>
      </w:r>
      <w:r w:rsidR="00B80FB0" w:rsidRPr="00B80FB0">
        <w:rPr>
          <w:i/>
        </w:rPr>
        <w:t>Singapore</w:t>
      </w:r>
      <w:r w:rsidR="00B80FB0">
        <w:t>]</w:t>
      </w:r>
      <w:r w:rsidRPr="001F0A4F">
        <w:t xml:space="preserve"> </w:t>
      </w:r>
      <w:r w:rsidR="00B80FB0" w:rsidRPr="001F0A4F">
        <w:t>and provided to the Directors</w:t>
      </w:r>
      <w:r w:rsidR="00B80FB0">
        <w:t>.</w:t>
      </w:r>
    </w:p>
    <w:p w14:paraId="737E12A4" w14:textId="77777777" w:rsidR="008C69ED" w:rsidRDefault="00004147" w:rsidP="007A0C4A">
      <w:pPr>
        <w:pStyle w:val="OutlinenumberedLevel1"/>
        <w:spacing w:before="0"/>
      </w:pPr>
      <w:bookmarkStart w:id="9" w:name="_Ref455235871"/>
      <w:r w:rsidRPr="005179B6">
        <w:t>PROTECTIVE PROVISIONS</w:t>
      </w:r>
      <w:bookmarkEnd w:id="9"/>
    </w:p>
    <w:p w14:paraId="469E238D" w14:textId="77777777" w:rsidR="006F67BA" w:rsidRPr="001D0E9E" w:rsidRDefault="006F67BA" w:rsidP="007A0C4A">
      <w:pPr>
        <w:pStyle w:val="OutlinenumberedLevel2"/>
        <w:keepNext/>
        <w:numPr>
          <w:ilvl w:val="0"/>
          <w:numId w:val="0"/>
        </w:numPr>
        <w:spacing w:before="0"/>
        <w:ind w:left="567"/>
        <w:rPr>
          <w:b/>
          <w:i/>
          <w:color w:val="C00000"/>
          <w:highlight w:val="lightGray"/>
        </w:rPr>
      </w:pPr>
      <w:r w:rsidRPr="001D0E9E">
        <w:rPr>
          <w:b/>
          <w:color w:val="C00000"/>
          <w:highlight w:val="lightGray"/>
        </w:rPr>
        <w:t>[</w:t>
      </w:r>
      <w:r w:rsidRPr="001D0E9E">
        <w:rPr>
          <w:b/>
          <w:i/>
          <w:color w:val="C00000"/>
          <w:highlight w:val="lightGray"/>
        </w:rPr>
        <w:t>User note:</w:t>
      </w:r>
    </w:p>
    <w:p w14:paraId="3BC6A95F" w14:textId="77777777" w:rsidR="006F67BA" w:rsidRPr="00C10388" w:rsidRDefault="006F67BA" w:rsidP="007C74BB">
      <w:pPr>
        <w:pStyle w:val="OutlinenumberedLevel1"/>
        <w:keepNext w:val="0"/>
        <w:numPr>
          <w:ilvl w:val="0"/>
          <w:numId w:val="17"/>
        </w:numPr>
        <w:tabs>
          <w:tab w:val="clear" w:pos="567"/>
          <w:tab w:val="num" w:pos="1276"/>
        </w:tabs>
        <w:spacing w:before="0"/>
        <w:ind w:left="1276" w:hanging="709"/>
        <w:rPr>
          <w:rFonts w:ascii="Arial" w:hAnsi="Arial"/>
          <w:i/>
          <w:highlight w:val="lightGray"/>
        </w:rPr>
      </w:pPr>
      <w:r w:rsidRPr="00C10388">
        <w:rPr>
          <w:rFonts w:ascii="Arial" w:hAnsi="Arial"/>
          <w:i/>
          <w:highlight w:val="lightGray"/>
        </w:rPr>
        <w:t xml:space="preserve">Clause 6.1 below lists specific matters that must be approved by the </w:t>
      </w:r>
      <w:r w:rsidR="00222BA4">
        <w:rPr>
          <w:rFonts w:ascii="Arial" w:hAnsi="Arial"/>
          <w:i/>
          <w:highlight w:val="lightGray"/>
        </w:rPr>
        <w:t>i</w:t>
      </w:r>
      <w:r w:rsidR="00027D3E">
        <w:rPr>
          <w:rFonts w:ascii="Arial" w:hAnsi="Arial"/>
          <w:i/>
          <w:highlight w:val="lightGray"/>
        </w:rPr>
        <w:t>nvestor</w:t>
      </w:r>
      <w:r w:rsidR="00C63E95">
        <w:rPr>
          <w:rFonts w:ascii="Arial" w:hAnsi="Arial"/>
          <w:i/>
          <w:highlight w:val="lightGray"/>
        </w:rPr>
        <w:t xml:space="preserve"> </w:t>
      </w:r>
      <w:r w:rsidR="00222BA4">
        <w:rPr>
          <w:rFonts w:ascii="Arial" w:hAnsi="Arial"/>
          <w:i/>
          <w:highlight w:val="lightGray"/>
        </w:rPr>
        <w:t>appointed d</w:t>
      </w:r>
      <w:r w:rsidR="00C63E95">
        <w:rPr>
          <w:rFonts w:ascii="Arial" w:hAnsi="Arial"/>
          <w:i/>
          <w:highlight w:val="lightGray"/>
        </w:rPr>
        <w:t>irector</w:t>
      </w:r>
      <w:r w:rsidRPr="00C10388">
        <w:rPr>
          <w:rFonts w:ascii="Arial" w:hAnsi="Arial"/>
          <w:i/>
          <w:highlight w:val="lightGray"/>
        </w:rPr>
        <w:t>.  If the comp</w:t>
      </w:r>
      <w:r w:rsidR="002D3030">
        <w:rPr>
          <w:rFonts w:ascii="Arial" w:hAnsi="Arial"/>
          <w:i/>
          <w:highlight w:val="lightGray"/>
        </w:rPr>
        <w:t>any does not have a director</w:t>
      </w:r>
      <w:r w:rsidRPr="00C10388">
        <w:rPr>
          <w:rFonts w:ascii="Arial" w:hAnsi="Arial"/>
          <w:i/>
          <w:highlight w:val="lightGray"/>
        </w:rPr>
        <w:t xml:space="preserve"> appointed by investors, delete clauses 6.1 and 6.2.</w:t>
      </w:r>
      <w:r w:rsidR="00C63E95">
        <w:rPr>
          <w:rFonts w:ascii="Arial" w:hAnsi="Arial"/>
          <w:i/>
          <w:highlight w:val="lightGray"/>
        </w:rPr>
        <w:t xml:space="preserve">  </w:t>
      </w:r>
      <w:r w:rsidR="00C63E95" w:rsidRPr="00C10388">
        <w:rPr>
          <w:rFonts w:ascii="Arial" w:hAnsi="Arial"/>
          <w:i/>
          <w:highlight w:val="lightGray"/>
        </w:rPr>
        <w:t>Another approach could be to retain this short list, but specify that these matters require the approval of, say, 75% of shareholders.</w:t>
      </w:r>
    </w:p>
    <w:p w14:paraId="4F5C707C" w14:textId="77777777" w:rsidR="006F67BA" w:rsidRPr="00C10388" w:rsidRDefault="006F67BA" w:rsidP="007C74BB">
      <w:pPr>
        <w:pStyle w:val="OutlinenumberedLevel1"/>
        <w:keepNext w:val="0"/>
        <w:numPr>
          <w:ilvl w:val="0"/>
          <w:numId w:val="17"/>
        </w:numPr>
        <w:tabs>
          <w:tab w:val="clear" w:pos="567"/>
          <w:tab w:val="num" w:pos="1276"/>
        </w:tabs>
        <w:spacing w:before="0"/>
        <w:ind w:left="1276" w:hanging="709"/>
        <w:rPr>
          <w:rFonts w:ascii="Arial" w:hAnsi="Arial"/>
          <w:i/>
          <w:highlight w:val="lightGray"/>
        </w:rPr>
      </w:pPr>
      <w:r w:rsidRPr="00C10388">
        <w:rPr>
          <w:rFonts w:ascii="Arial" w:hAnsi="Arial"/>
          <w:i/>
          <w:highlight w:val="lightGray"/>
        </w:rPr>
        <w:t xml:space="preserve">The provisions set out here are permissive and form a relatively short list.  You may wish to include additional restrictions.  </w:t>
      </w:r>
    </w:p>
    <w:p w14:paraId="2854301F" w14:textId="77777777" w:rsidR="006F67BA" w:rsidRPr="00C10388" w:rsidRDefault="006F67BA" w:rsidP="007C74BB">
      <w:pPr>
        <w:pStyle w:val="OutlinenumberedLevel1"/>
        <w:keepNext w:val="0"/>
        <w:numPr>
          <w:ilvl w:val="0"/>
          <w:numId w:val="17"/>
        </w:numPr>
        <w:tabs>
          <w:tab w:val="clear" w:pos="567"/>
          <w:tab w:val="num" w:pos="1276"/>
        </w:tabs>
        <w:spacing w:before="0"/>
        <w:ind w:left="1276" w:hanging="709"/>
        <w:rPr>
          <w:rFonts w:ascii="Arial" w:hAnsi="Arial"/>
          <w:i/>
          <w:highlight w:val="lightGray"/>
        </w:rPr>
      </w:pPr>
      <w:r w:rsidRPr="00C10388">
        <w:rPr>
          <w:rFonts w:ascii="Arial" w:hAnsi="Arial"/>
          <w:i/>
          <w:highlight w:val="lightGray"/>
        </w:rPr>
        <w:t xml:space="preserve">This list does not include </w:t>
      </w:r>
      <w:r w:rsidR="002D3030">
        <w:rPr>
          <w:rFonts w:ascii="Arial" w:hAnsi="Arial"/>
          <w:i/>
          <w:highlight w:val="lightGray"/>
        </w:rPr>
        <w:t xml:space="preserve">the </w:t>
      </w:r>
      <w:r w:rsidRPr="00C10388">
        <w:rPr>
          <w:rFonts w:ascii="Arial" w:hAnsi="Arial"/>
          <w:i/>
          <w:highlight w:val="lightGray"/>
        </w:rPr>
        <w:t>a</w:t>
      </w:r>
      <w:r w:rsidR="007A441F">
        <w:rPr>
          <w:rFonts w:ascii="Arial" w:hAnsi="Arial"/>
          <w:i/>
          <w:highlight w:val="lightGray"/>
        </w:rPr>
        <w:t>pproval of further share</w:t>
      </w:r>
      <w:r w:rsidRPr="00C10388">
        <w:rPr>
          <w:rFonts w:ascii="Arial" w:hAnsi="Arial"/>
          <w:i/>
          <w:highlight w:val="lightGray"/>
        </w:rPr>
        <w:t xml:space="preserve"> issue</w:t>
      </w:r>
      <w:r w:rsidR="002D3030">
        <w:rPr>
          <w:rFonts w:ascii="Arial" w:hAnsi="Arial"/>
          <w:i/>
          <w:highlight w:val="lightGray"/>
        </w:rPr>
        <w:t>s</w:t>
      </w:r>
      <w:r w:rsidRPr="00C10388">
        <w:rPr>
          <w:rFonts w:ascii="Arial" w:hAnsi="Arial"/>
          <w:i/>
          <w:highlight w:val="lightGray"/>
        </w:rPr>
        <w:t xml:space="preserve"> because, while this is an approval right a significant shareholder may like to have, from the company’s perspective it is generally better not to restrict the freedom of the board to raise capital.</w:t>
      </w:r>
      <w:r w:rsidR="00A63B98">
        <w:rPr>
          <w:rFonts w:ascii="Arial" w:hAnsi="Arial"/>
          <w:highlight w:val="lightGray"/>
        </w:rPr>
        <w:t>]</w:t>
      </w:r>
    </w:p>
    <w:p w14:paraId="40C6DE64" w14:textId="487340C8" w:rsidR="007929ED" w:rsidRPr="006F67BA" w:rsidRDefault="006F67BA" w:rsidP="009256A7">
      <w:pPr>
        <w:pStyle w:val="OutlinenumberedLevel2"/>
        <w:keepNext/>
        <w:spacing w:before="0"/>
        <w:rPr>
          <w:i/>
        </w:rPr>
      </w:pPr>
      <w:bookmarkStart w:id="10" w:name="_Ref455235907"/>
      <w:r>
        <w:t>[</w:t>
      </w:r>
      <w:r w:rsidR="009D0DAC" w:rsidRPr="006F67BA">
        <w:rPr>
          <w:b/>
          <w:i/>
        </w:rPr>
        <w:t xml:space="preserve">Matters requiring </w:t>
      </w:r>
      <w:r w:rsidR="00A23D6A" w:rsidRPr="006F67BA">
        <w:rPr>
          <w:b/>
          <w:i/>
        </w:rPr>
        <w:t>special approval</w:t>
      </w:r>
      <w:r w:rsidR="009D0DAC" w:rsidRPr="006F67BA">
        <w:rPr>
          <w:b/>
          <w:i/>
        </w:rPr>
        <w:t>:</w:t>
      </w:r>
      <w:r w:rsidR="009D0DAC" w:rsidRPr="006F67BA">
        <w:rPr>
          <w:i/>
        </w:rPr>
        <w:t xml:space="preserve">  </w:t>
      </w:r>
      <w:r w:rsidR="00057D23">
        <w:rPr>
          <w:i/>
        </w:rPr>
        <w:t>T</w:t>
      </w:r>
      <w:r w:rsidR="00FF7D62" w:rsidRPr="006F67BA">
        <w:rPr>
          <w:i/>
        </w:rPr>
        <w:t>he a</w:t>
      </w:r>
      <w:r w:rsidR="009D0DAC" w:rsidRPr="006F67BA">
        <w:rPr>
          <w:i/>
        </w:rPr>
        <w:t xml:space="preserve">pproval of </w:t>
      </w:r>
      <w:r w:rsidR="009116E9">
        <w:rPr>
          <w:i/>
        </w:rPr>
        <w:t xml:space="preserve">the Investor Director </w:t>
      </w:r>
      <w:r w:rsidR="009D0DAC" w:rsidRPr="006F67BA">
        <w:rPr>
          <w:i/>
        </w:rPr>
        <w:t>is required for:</w:t>
      </w:r>
      <w:bookmarkEnd w:id="10"/>
      <w:r w:rsidR="007929ED" w:rsidRPr="006F67BA">
        <w:rPr>
          <w:i/>
        </w:rPr>
        <w:t xml:space="preserve"> </w:t>
      </w:r>
    </w:p>
    <w:p w14:paraId="284E86F5" w14:textId="77777777" w:rsidR="009D0DAC" w:rsidRPr="006F67BA" w:rsidRDefault="005C33A3" w:rsidP="006A200A">
      <w:pPr>
        <w:pStyle w:val="OutlinenumberedLevel3"/>
        <w:spacing w:before="0"/>
        <w:rPr>
          <w:i/>
        </w:rPr>
      </w:pPr>
      <w:r w:rsidRPr="006F67BA">
        <w:rPr>
          <w:i/>
        </w:rPr>
        <w:t>a</w:t>
      </w:r>
      <w:r w:rsidR="009D0DAC" w:rsidRPr="006F67BA">
        <w:rPr>
          <w:i/>
        </w:rPr>
        <w:t xml:space="preserve">ny transaction or arrangement </w:t>
      </w:r>
      <w:r w:rsidR="00CF11FA" w:rsidRPr="006F67BA">
        <w:rPr>
          <w:i/>
        </w:rPr>
        <w:t xml:space="preserve">in which </w:t>
      </w:r>
      <w:r w:rsidR="009D0DAC" w:rsidRPr="006F67BA">
        <w:rPr>
          <w:i/>
        </w:rPr>
        <w:t>the Company acquir</w:t>
      </w:r>
      <w:r w:rsidR="00CF11FA" w:rsidRPr="006F67BA">
        <w:rPr>
          <w:i/>
        </w:rPr>
        <w:t>es or disposes of</w:t>
      </w:r>
      <w:r w:rsidR="009D0DAC" w:rsidRPr="006F67BA">
        <w:rPr>
          <w:i/>
        </w:rPr>
        <w:t xml:space="preserve"> </w:t>
      </w:r>
      <w:r w:rsidR="00710F74" w:rsidRPr="006F67BA">
        <w:rPr>
          <w:i/>
        </w:rPr>
        <w:t xml:space="preserve">assets, </w:t>
      </w:r>
      <w:r w:rsidR="009D0DAC" w:rsidRPr="006F67BA">
        <w:rPr>
          <w:i/>
        </w:rPr>
        <w:t>rights or interests</w:t>
      </w:r>
      <w:r w:rsidR="00CF11FA" w:rsidRPr="006F67BA">
        <w:rPr>
          <w:i/>
        </w:rPr>
        <w:t>,</w:t>
      </w:r>
      <w:r w:rsidR="009D0DAC" w:rsidRPr="006F67BA">
        <w:rPr>
          <w:i/>
        </w:rPr>
        <w:t xml:space="preserve"> or incur</w:t>
      </w:r>
      <w:r w:rsidR="00CF11FA" w:rsidRPr="006F67BA">
        <w:rPr>
          <w:i/>
        </w:rPr>
        <w:t>s</w:t>
      </w:r>
      <w:r w:rsidR="009D0DAC" w:rsidRPr="006F67BA">
        <w:rPr>
          <w:i/>
        </w:rPr>
        <w:t xml:space="preserve"> obligations or liabilities</w:t>
      </w:r>
      <w:r w:rsidR="00CF11FA" w:rsidRPr="006F67BA">
        <w:rPr>
          <w:i/>
        </w:rPr>
        <w:t>,</w:t>
      </w:r>
      <w:r w:rsidR="009D0DAC" w:rsidRPr="006F67BA">
        <w:rPr>
          <w:i/>
        </w:rPr>
        <w:t xml:space="preserve"> not specifically identified in the </w:t>
      </w:r>
      <w:r w:rsidR="008C69ED" w:rsidRPr="006F67BA">
        <w:rPr>
          <w:i/>
        </w:rPr>
        <w:t xml:space="preserve">Business Plan, the value of which is greater than </w:t>
      </w:r>
      <w:r w:rsidR="009F65E4" w:rsidRPr="006F67BA">
        <w:rPr>
          <w:i/>
        </w:rPr>
        <w:t>$</w:t>
      </w:r>
      <w:r w:rsidR="000B4AEF" w:rsidRPr="006F67BA">
        <w:rPr>
          <w:i/>
        </w:rPr>
        <w:t>[</w:t>
      </w:r>
      <w:r w:rsidR="009F65E4" w:rsidRPr="006F67BA">
        <w:rPr>
          <w:i/>
        </w:rPr>
        <w:t>insert amount</w:t>
      </w:r>
      <w:r w:rsidR="000B4AEF" w:rsidRPr="006F67BA">
        <w:rPr>
          <w:i/>
        </w:rPr>
        <w:t>]</w:t>
      </w:r>
      <w:r w:rsidR="008C69ED" w:rsidRPr="006F67BA">
        <w:rPr>
          <w:i/>
        </w:rPr>
        <w:t>;</w:t>
      </w:r>
    </w:p>
    <w:p w14:paraId="679C3CAB" w14:textId="1E046D38" w:rsidR="00D4449C" w:rsidRPr="006F67BA" w:rsidRDefault="00D4449C" w:rsidP="006A200A">
      <w:pPr>
        <w:pStyle w:val="OutlinenumberedLevel3"/>
        <w:spacing w:before="0"/>
        <w:rPr>
          <w:i/>
        </w:rPr>
      </w:pPr>
      <w:r w:rsidRPr="006F67BA">
        <w:rPr>
          <w:i/>
        </w:rPr>
        <w:t xml:space="preserve">the </w:t>
      </w:r>
      <w:r w:rsidR="00AE0F1D" w:rsidRPr="006F67BA">
        <w:rPr>
          <w:i/>
        </w:rPr>
        <w:t>borrowing of any money</w:t>
      </w:r>
      <w:r w:rsidR="009116E9">
        <w:rPr>
          <w:i/>
        </w:rPr>
        <w:t xml:space="preserve"> or any change to the Company’s borrowing facilities</w:t>
      </w:r>
      <w:r w:rsidR="00181F6B">
        <w:rPr>
          <w:i/>
        </w:rPr>
        <w:t xml:space="preserve"> of greater than $[insert]</w:t>
      </w:r>
      <w:r w:rsidR="00AE0F1D" w:rsidRPr="006F67BA">
        <w:rPr>
          <w:i/>
        </w:rPr>
        <w:t xml:space="preserve">, the provision of any guarantee, indemnity or other contingent </w:t>
      </w:r>
      <w:r w:rsidR="00AE0F1D" w:rsidRPr="006F67BA">
        <w:rPr>
          <w:i/>
        </w:rPr>
        <w:lastRenderedPageBreak/>
        <w:t xml:space="preserve">commitment or the </w:t>
      </w:r>
      <w:r w:rsidRPr="006F67BA">
        <w:rPr>
          <w:i/>
        </w:rPr>
        <w:t>grant of any security over the business or assets of the Company</w:t>
      </w:r>
      <w:r w:rsidR="00CF11FA" w:rsidRPr="006F67BA">
        <w:rPr>
          <w:i/>
        </w:rPr>
        <w:t>, other than in the ordinary course of the Company’s business</w:t>
      </w:r>
      <w:r w:rsidR="009116E9">
        <w:rPr>
          <w:i/>
        </w:rPr>
        <w:t xml:space="preserve"> (including security interests arising by operation of law)</w:t>
      </w:r>
      <w:r w:rsidR="001025DB" w:rsidRPr="006F67BA">
        <w:rPr>
          <w:i/>
        </w:rPr>
        <w:t>;</w:t>
      </w:r>
    </w:p>
    <w:p w14:paraId="6FD059E3" w14:textId="77777777" w:rsidR="0049606F" w:rsidRPr="006F67BA" w:rsidRDefault="0049606F" w:rsidP="006A200A">
      <w:pPr>
        <w:pStyle w:val="OutlinenumberedLevel3"/>
        <w:spacing w:before="0"/>
        <w:rPr>
          <w:i/>
        </w:rPr>
      </w:pPr>
      <w:r w:rsidRPr="006F67BA">
        <w:rPr>
          <w:i/>
        </w:rPr>
        <w:t xml:space="preserve">any transactions with a related party of the Company or any </w:t>
      </w:r>
      <w:r w:rsidR="009738DD" w:rsidRPr="006F67BA">
        <w:rPr>
          <w:i/>
        </w:rPr>
        <w:t xml:space="preserve">Director or </w:t>
      </w:r>
      <w:r w:rsidR="00D4449C" w:rsidRPr="006F67BA">
        <w:rPr>
          <w:i/>
        </w:rPr>
        <w:t>s</w:t>
      </w:r>
      <w:r w:rsidRPr="006F67BA">
        <w:rPr>
          <w:i/>
        </w:rPr>
        <w:t xml:space="preserve">hareholder </w:t>
      </w:r>
      <w:r w:rsidR="00D4449C" w:rsidRPr="006F67BA">
        <w:rPr>
          <w:i/>
        </w:rPr>
        <w:t>of the Company</w:t>
      </w:r>
      <w:r w:rsidR="00181F6B">
        <w:rPr>
          <w:i/>
        </w:rPr>
        <w:t>, other than on arms’ length terms and in the ordinary course of the Company’s business</w:t>
      </w:r>
      <w:r w:rsidRPr="006F67BA">
        <w:rPr>
          <w:i/>
        </w:rPr>
        <w:t>;</w:t>
      </w:r>
    </w:p>
    <w:p w14:paraId="27155DA4" w14:textId="77777777" w:rsidR="00FF78FE" w:rsidRPr="006F67BA" w:rsidRDefault="00FF78FE" w:rsidP="006A200A">
      <w:pPr>
        <w:pStyle w:val="OutlinenumberedLevel3"/>
        <w:spacing w:before="0"/>
        <w:rPr>
          <w:i/>
        </w:rPr>
      </w:pPr>
      <w:r w:rsidRPr="006F67BA">
        <w:rPr>
          <w:i/>
        </w:rPr>
        <w:t>the cessation of any material business operation of the Company or any</w:t>
      </w:r>
      <w:r w:rsidR="0009450C">
        <w:rPr>
          <w:i/>
        </w:rPr>
        <w:t xml:space="preserve"> material</w:t>
      </w:r>
      <w:r w:rsidRPr="006F67BA">
        <w:rPr>
          <w:i/>
        </w:rPr>
        <w:t xml:space="preserve"> change in the principal activity of the Business; </w:t>
      </w:r>
      <w:r w:rsidR="002D3030">
        <w:rPr>
          <w:i/>
        </w:rPr>
        <w:t>or</w:t>
      </w:r>
    </w:p>
    <w:p w14:paraId="79B61FEF" w14:textId="404D7FB8" w:rsidR="00FF78FE" w:rsidRPr="006F67BA" w:rsidRDefault="00FF78FE" w:rsidP="006A200A">
      <w:pPr>
        <w:pStyle w:val="OutlinenumberedLevel3"/>
        <w:spacing w:before="0"/>
        <w:rPr>
          <w:i/>
        </w:rPr>
      </w:pPr>
      <w:r w:rsidRPr="006F67BA">
        <w:rPr>
          <w:i/>
        </w:rPr>
        <w:t xml:space="preserve">any change to the </w:t>
      </w:r>
      <w:r w:rsidR="00CC245B" w:rsidRPr="006F67BA">
        <w:rPr>
          <w:i/>
        </w:rPr>
        <w:t>Constitution (if applicable)</w:t>
      </w:r>
      <w:r w:rsidRPr="006F67BA">
        <w:rPr>
          <w:i/>
        </w:rPr>
        <w:t xml:space="preserve"> of the Company which materially affects the Investors’ </w:t>
      </w:r>
      <w:proofErr w:type="gramStart"/>
      <w:r w:rsidRPr="006F67BA">
        <w:rPr>
          <w:i/>
        </w:rPr>
        <w:t>rights</w:t>
      </w:r>
      <w:proofErr w:type="gramEnd"/>
      <w:r w:rsidRPr="006F67BA">
        <w:rPr>
          <w:i/>
        </w:rPr>
        <w:t xml:space="preserve"> or </w:t>
      </w:r>
      <w:r w:rsidR="004A2573">
        <w:rPr>
          <w:i/>
        </w:rPr>
        <w:t xml:space="preserve">which </w:t>
      </w:r>
      <w:r w:rsidRPr="006F67BA">
        <w:rPr>
          <w:i/>
        </w:rPr>
        <w:t>change</w:t>
      </w:r>
      <w:r w:rsidR="00354E0D">
        <w:rPr>
          <w:i/>
        </w:rPr>
        <w:t>s</w:t>
      </w:r>
      <w:r w:rsidRPr="006F67BA">
        <w:rPr>
          <w:i/>
        </w:rPr>
        <w:t xml:space="preserve"> </w:t>
      </w:r>
      <w:r w:rsidR="004A2573">
        <w:rPr>
          <w:i/>
        </w:rPr>
        <w:t xml:space="preserve">the </w:t>
      </w:r>
      <w:r w:rsidR="009116E9">
        <w:rPr>
          <w:i/>
        </w:rPr>
        <w:t>composition</w:t>
      </w:r>
      <w:r w:rsidR="00354E0D">
        <w:rPr>
          <w:i/>
        </w:rPr>
        <w:t xml:space="preserve"> of the Board</w:t>
      </w:r>
      <w:r w:rsidR="009116E9">
        <w:rPr>
          <w:i/>
        </w:rPr>
        <w:t>.</w:t>
      </w:r>
      <w:r w:rsidR="009116E9" w:rsidRPr="002D3030">
        <w:t>]</w:t>
      </w:r>
    </w:p>
    <w:p w14:paraId="5AF41F57" w14:textId="77777777" w:rsidR="006F67BA" w:rsidRPr="006F67BA" w:rsidRDefault="006F67BA" w:rsidP="006A200A">
      <w:pPr>
        <w:pStyle w:val="OutlinenumberedLevel1"/>
        <w:numPr>
          <w:ilvl w:val="0"/>
          <w:numId w:val="0"/>
        </w:numPr>
        <w:spacing w:before="0"/>
        <w:ind w:left="567"/>
        <w:rPr>
          <w:rFonts w:ascii="Arial" w:hAnsi="Arial"/>
        </w:rPr>
      </w:pPr>
      <w:r w:rsidRPr="006F67BA">
        <w:rPr>
          <w:rFonts w:ascii="Arial" w:hAnsi="Arial"/>
          <w:highlight w:val="lightGray"/>
        </w:rPr>
        <w:t>[</w:t>
      </w:r>
      <w:r w:rsidRPr="006F67BA">
        <w:rPr>
          <w:rFonts w:ascii="Arial" w:hAnsi="Arial"/>
          <w:i/>
          <w:highlight w:val="lightGray"/>
        </w:rPr>
        <w:t>User note:  Delete clause 6.2 (Subsidiaries) below if clause 6.1 (Matters requiring special approval) has been deleted</w:t>
      </w:r>
      <w:r w:rsidRPr="006F67BA">
        <w:rPr>
          <w:rFonts w:ascii="Arial" w:hAnsi="Arial"/>
          <w:highlight w:val="lightGray"/>
        </w:rPr>
        <w:t>.]</w:t>
      </w:r>
    </w:p>
    <w:p w14:paraId="62632ED6" w14:textId="134E2D58" w:rsidR="00367AC1" w:rsidRPr="000A04B1" w:rsidRDefault="006F67BA" w:rsidP="00354E0D">
      <w:pPr>
        <w:pStyle w:val="OutlinenumberedLevel2"/>
      </w:pPr>
      <w:r>
        <w:t>[</w:t>
      </w:r>
      <w:r w:rsidR="00367AC1" w:rsidRPr="006F67BA">
        <w:rPr>
          <w:b/>
        </w:rPr>
        <w:t>Subsidiaries:</w:t>
      </w:r>
      <w:r w:rsidR="00367AC1" w:rsidRPr="006F67BA">
        <w:t xml:space="preserve">  </w:t>
      </w:r>
      <w:r w:rsidR="00F53C92" w:rsidRPr="006F67BA">
        <w:t xml:space="preserve">Clause </w:t>
      </w:r>
      <w:r w:rsidR="00866215">
        <w:fldChar w:fldCharType="begin"/>
      </w:r>
      <w:r w:rsidR="00866215">
        <w:instrText xml:space="preserve"> REF _Ref455235907 \w \h </w:instrText>
      </w:r>
      <w:r w:rsidR="00866215">
        <w:fldChar w:fldCharType="separate"/>
      </w:r>
      <w:r w:rsidR="007E5370">
        <w:t>6.1</w:t>
      </w:r>
      <w:r w:rsidR="00866215">
        <w:fldChar w:fldCharType="end"/>
      </w:r>
      <w:r w:rsidR="00367AC1" w:rsidRPr="006F67BA">
        <w:t xml:space="preserve"> </w:t>
      </w:r>
      <w:r w:rsidR="0000486C" w:rsidRPr="006F67BA">
        <w:t>will</w:t>
      </w:r>
      <w:r w:rsidR="00367AC1" w:rsidRPr="006F67BA">
        <w:t xml:space="preserve"> apply to each </w:t>
      </w:r>
      <w:r w:rsidR="005317F5">
        <w:t xml:space="preserve">Subsidiary </w:t>
      </w:r>
      <w:r w:rsidR="00367AC1" w:rsidRPr="006F67BA">
        <w:t xml:space="preserve"> of the Company as if references to that Company were references to that </w:t>
      </w:r>
      <w:r w:rsidR="005317F5">
        <w:t>Subsidiary</w:t>
      </w:r>
      <w:r w:rsidR="00367AC1" w:rsidRPr="006F67BA">
        <w:t xml:space="preserve">, and the parties must take all actions to ensure that the </w:t>
      </w:r>
      <w:r w:rsidR="005317F5">
        <w:t xml:space="preserve">Subsidiaries </w:t>
      </w:r>
      <w:r w:rsidR="00367AC1" w:rsidRPr="006F67BA">
        <w:t>of the Company comply with this requirement</w:t>
      </w:r>
      <w:r w:rsidR="00367AC1" w:rsidRPr="000A04B1">
        <w:t>.</w:t>
      </w:r>
      <w:r>
        <w:t>]</w:t>
      </w:r>
    </w:p>
    <w:p w14:paraId="1208A69B" w14:textId="77777777" w:rsidR="000A04B1" w:rsidRDefault="000A04B1" w:rsidP="00AC5BBB">
      <w:pPr>
        <w:pStyle w:val="OutlinenumberedLevel1"/>
        <w:spacing w:before="0"/>
      </w:pPr>
      <w:r>
        <w:t xml:space="preserve">ISSUE OF </w:t>
      </w:r>
      <w:r w:rsidR="009530BC" w:rsidRPr="001F0A4F">
        <w:t>SECURITIES</w:t>
      </w:r>
    </w:p>
    <w:p w14:paraId="70EC3A22" w14:textId="769DB9DE" w:rsidR="00354E0D" w:rsidRDefault="009530BC" w:rsidP="00AC5BBB">
      <w:pPr>
        <w:pStyle w:val="OutlinenumberedLevel2"/>
        <w:spacing w:before="0"/>
      </w:pPr>
      <w:r w:rsidRPr="0066228A">
        <w:rPr>
          <w:b/>
        </w:rPr>
        <w:t>Pre-emptive rights:</w:t>
      </w:r>
      <w:r w:rsidRPr="001F0A4F">
        <w:t xml:space="preserve">  </w:t>
      </w:r>
      <w:r w:rsidR="00A4058A">
        <w:rPr>
          <w:rFonts w:eastAsia="MS Mincho"/>
        </w:rPr>
        <w:t>T</w:t>
      </w:r>
      <w:r w:rsidR="00F57279" w:rsidRPr="00F57279">
        <w:rPr>
          <w:rFonts w:eastAsia="MS Mincho"/>
        </w:rPr>
        <w:t>he Bo</w:t>
      </w:r>
      <w:r w:rsidR="00A4058A">
        <w:rPr>
          <w:rFonts w:eastAsia="MS Mincho"/>
        </w:rPr>
        <w:t>ard may issue additional Securities</w:t>
      </w:r>
      <w:r w:rsidR="00F137CB">
        <w:rPr>
          <w:rFonts w:eastAsia="MS Mincho"/>
        </w:rPr>
        <w:t xml:space="preserve"> </w:t>
      </w:r>
      <w:r w:rsidR="00F57279" w:rsidRPr="00F57279">
        <w:rPr>
          <w:rFonts w:eastAsia="MS Mincho"/>
        </w:rPr>
        <w:t>of any class (including redeemable Shares) at any time, to any person and in t</w:t>
      </w:r>
      <w:r w:rsidR="00A4058A">
        <w:rPr>
          <w:rFonts w:eastAsia="MS Mincho"/>
        </w:rPr>
        <w:t>he numbers the Board thinks fit</w:t>
      </w:r>
      <w:r w:rsidR="00F137CB">
        <w:rPr>
          <w:rFonts w:eastAsia="MS Mincho"/>
        </w:rPr>
        <w:t>,</w:t>
      </w:r>
      <w:r w:rsidR="00A4058A">
        <w:rPr>
          <w:rFonts w:eastAsia="MS Mincho"/>
        </w:rPr>
        <w:t xml:space="preserve"> subject to the </w:t>
      </w:r>
      <w:r w:rsidR="009116E9">
        <w:rPr>
          <w:rFonts w:eastAsia="MS Mincho"/>
        </w:rPr>
        <w:t xml:space="preserve">rights of pre-emption </w:t>
      </w:r>
      <w:r w:rsidR="00A4058A">
        <w:rPr>
          <w:rFonts w:eastAsia="MS Mincho"/>
        </w:rPr>
        <w:t xml:space="preserve">on issue set out in Schedule </w:t>
      </w:r>
      <w:r w:rsidR="00B20860">
        <w:rPr>
          <w:rFonts w:eastAsia="MS Mincho"/>
        </w:rPr>
        <w:t>3</w:t>
      </w:r>
      <w:r w:rsidR="004334B0">
        <w:rPr>
          <w:rFonts w:eastAsia="MS Mincho"/>
        </w:rPr>
        <w:t>,</w:t>
      </w:r>
      <w:r w:rsidR="00A4058A">
        <w:rPr>
          <w:rFonts w:eastAsia="MS Mincho"/>
        </w:rPr>
        <w:t xml:space="preserve"> except that such</w:t>
      </w:r>
      <w:r w:rsidR="00A4058A" w:rsidRPr="00A4058A">
        <w:rPr>
          <w:rFonts w:eastAsia="MS Mincho"/>
        </w:rPr>
        <w:t xml:space="preserve"> </w:t>
      </w:r>
      <w:r w:rsidR="009116E9">
        <w:rPr>
          <w:rFonts w:eastAsia="MS Mincho"/>
        </w:rPr>
        <w:t>pre-emptive rights will</w:t>
      </w:r>
      <w:r w:rsidR="00A4058A">
        <w:rPr>
          <w:rFonts w:eastAsia="MS Mincho"/>
        </w:rPr>
        <w:t xml:space="preserve"> not apply</w:t>
      </w:r>
      <w:r w:rsidR="00354E0D">
        <w:rPr>
          <w:rFonts w:eastAsia="MS Mincho"/>
        </w:rPr>
        <w:t>:</w:t>
      </w:r>
      <w:r w:rsidR="004334B0" w:rsidRPr="004334B0">
        <w:t xml:space="preserve"> </w:t>
      </w:r>
    </w:p>
    <w:p w14:paraId="317F228A" w14:textId="7F083E36" w:rsidR="00354E0D" w:rsidRDefault="008A2AF3" w:rsidP="00354E0D">
      <w:pPr>
        <w:pStyle w:val="OutlinenumberedLevel3"/>
      </w:pPr>
      <w:r>
        <w:t xml:space="preserve">to </w:t>
      </w:r>
      <w:r w:rsidR="004334B0">
        <w:t>the issue of</w:t>
      </w:r>
      <w:r w:rsidR="009116E9">
        <w:rPr>
          <w:rFonts w:eastAsia="MS Mincho"/>
        </w:rPr>
        <w:t xml:space="preserve"> </w:t>
      </w:r>
      <w:r w:rsidR="00910225">
        <w:t>Securities</w:t>
      </w:r>
      <w:r w:rsidR="00A4058A">
        <w:t xml:space="preserve"> pursuant to </w:t>
      </w:r>
      <w:r w:rsidR="004334B0">
        <w:t>any ESOP</w:t>
      </w:r>
      <w:r w:rsidR="00354E0D">
        <w:t>;</w:t>
      </w:r>
    </w:p>
    <w:p w14:paraId="54A1C740" w14:textId="3B9F478F" w:rsidR="008A2AF3" w:rsidRDefault="008A2AF3" w:rsidP="008A2AF3">
      <w:pPr>
        <w:pStyle w:val="OutlinenumberedLevel3"/>
      </w:pPr>
      <w:r>
        <w:t>to the issue of Securities for nil consideration under any pro rata bonus issue, consolidation or subdivision of any Securities or any reduction or cancellation of the Company’s share capital (or any similar reorganisation of the capital of the Company) which affects all Shareholders equally;</w:t>
      </w:r>
      <w:r w:rsidR="004A2573">
        <w:t xml:space="preserve"> or</w:t>
      </w:r>
    </w:p>
    <w:p w14:paraId="5C54021D" w14:textId="73FB0C74" w:rsidR="008A2AF3" w:rsidRPr="008A2AF3" w:rsidRDefault="008A2AF3" w:rsidP="008A2AF3">
      <w:pPr>
        <w:pStyle w:val="OutlinenumberedLevel3"/>
      </w:pPr>
      <w:r>
        <w:t xml:space="preserve">on the conversion of any option, warrant or </w:t>
      </w:r>
      <w:r w:rsidR="004A2573">
        <w:t xml:space="preserve">other </w:t>
      </w:r>
      <w:r>
        <w:t>convertible Security</w:t>
      </w:r>
      <w:r w:rsidR="004A2573">
        <w:t>.</w:t>
      </w:r>
      <w:bookmarkStart w:id="11" w:name="_Ref455235753"/>
    </w:p>
    <w:p w14:paraId="010C7AD5" w14:textId="3686616A" w:rsidR="00F57279" w:rsidRDefault="004044D0" w:rsidP="00AC5BBB">
      <w:pPr>
        <w:pStyle w:val="OutlinenumberedLevel2"/>
        <w:spacing w:before="0"/>
      </w:pPr>
      <w:r w:rsidRPr="004044D0">
        <w:rPr>
          <w:b/>
        </w:rPr>
        <w:t>Deed of Accession:</w:t>
      </w:r>
      <w:r>
        <w:t xml:space="preserve"> </w:t>
      </w:r>
      <w:r w:rsidR="00F57279">
        <w:t>N</w:t>
      </w:r>
      <w:r w:rsidR="00F57279" w:rsidRPr="007C4593">
        <w:t>o issue of S</w:t>
      </w:r>
      <w:r w:rsidR="00F137CB">
        <w:t xml:space="preserve">hares </w:t>
      </w:r>
      <w:r w:rsidR="00F57279" w:rsidRPr="007C4593">
        <w:t xml:space="preserve">by the Company to a third party will be valid unless and until the third party enters into a Deed of Accession and agrees to become bound by the terms of this Agreement.  Each of the Shareholders agrees that from the date of issue of the </w:t>
      </w:r>
      <w:r w:rsidR="007F6337">
        <w:t>Shares</w:t>
      </w:r>
      <w:r w:rsidR="007F6337" w:rsidRPr="00F57279">
        <w:t xml:space="preserve"> </w:t>
      </w:r>
      <w:r w:rsidR="00F57279" w:rsidRPr="007C4593">
        <w:t xml:space="preserve">to the third party </w:t>
      </w:r>
      <w:r w:rsidR="00F57279">
        <w:t xml:space="preserve">this Agreement </w:t>
      </w:r>
      <w:r w:rsidR="00F57279" w:rsidRPr="007C4593">
        <w:t xml:space="preserve">will be read as if that third party was a party to </w:t>
      </w:r>
      <w:r w:rsidR="00F57279">
        <w:t>it</w:t>
      </w:r>
      <w:r w:rsidR="00F57279" w:rsidRPr="007C4593">
        <w:t xml:space="preserve">, having all the rights and obligation of a party under </w:t>
      </w:r>
      <w:r w:rsidR="00F57279">
        <w:t>this A</w:t>
      </w:r>
      <w:r w:rsidR="00F57279" w:rsidRPr="007C4593">
        <w:t>greement</w:t>
      </w:r>
      <w:r w:rsidR="00F57279">
        <w:t>.</w:t>
      </w:r>
      <w:bookmarkEnd w:id="11"/>
    </w:p>
    <w:p w14:paraId="56D0E9E3" w14:textId="77777777" w:rsidR="00524494" w:rsidRPr="001F0A4F" w:rsidRDefault="00EC1502" w:rsidP="00AC5BBB">
      <w:pPr>
        <w:pStyle w:val="OutlinenumberedLevel1"/>
        <w:spacing w:before="0"/>
      </w:pPr>
      <w:bookmarkStart w:id="12" w:name="_Ref455235800"/>
      <w:r w:rsidRPr="001F0A4F">
        <w:lastRenderedPageBreak/>
        <w:t>TRANSFER OF SECURITIES</w:t>
      </w:r>
      <w:bookmarkEnd w:id="12"/>
      <w:r w:rsidR="001100E3" w:rsidRPr="001F0A4F">
        <w:t xml:space="preserve"> </w:t>
      </w:r>
    </w:p>
    <w:p w14:paraId="27A97F43" w14:textId="2F04C845" w:rsidR="000A04B1" w:rsidRPr="00F57279" w:rsidRDefault="003302E6" w:rsidP="00AC5BBB">
      <w:pPr>
        <w:pStyle w:val="OutlinenumberedLevel2"/>
        <w:spacing w:before="0"/>
      </w:pPr>
      <w:bookmarkStart w:id="13" w:name="_Ref455235925"/>
      <w:r w:rsidRPr="00F57279">
        <w:rPr>
          <w:b/>
        </w:rPr>
        <w:t>Pre-emptive rights:</w:t>
      </w:r>
      <w:r w:rsidRPr="00F57279">
        <w:t xml:space="preserve">  </w:t>
      </w:r>
      <w:r w:rsidR="00BA6C71" w:rsidRPr="00F57279">
        <w:t>Subject to clause</w:t>
      </w:r>
      <w:r w:rsidR="00597FC7" w:rsidRPr="00F57279">
        <w:t xml:space="preserve"> </w:t>
      </w:r>
      <w:r w:rsidR="00866215">
        <w:fldChar w:fldCharType="begin"/>
      </w:r>
      <w:r w:rsidR="00866215">
        <w:instrText xml:space="preserve"> REF _Ref455235915 \w \h </w:instrText>
      </w:r>
      <w:r w:rsidR="00866215">
        <w:fldChar w:fldCharType="separate"/>
      </w:r>
      <w:r w:rsidR="007E5370">
        <w:t>8.2</w:t>
      </w:r>
      <w:r w:rsidR="00866215">
        <w:fldChar w:fldCharType="end"/>
      </w:r>
      <w:r w:rsidR="00BA6C71" w:rsidRPr="00F57279">
        <w:t>,</w:t>
      </w:r>
      <w:r w:rsidR="00313377" w:rsidRPr="00F57279">
        <w:t xml:space="preserve"> n</w:t>
      </w:r>
      <w:r w:rsidR="0005769A" w:rsidRPr="00F57279">
        <w:t xml:space="preserve">o Shareholder </w:t>
      </w:r>
      <w:r w:rsidR="00120696" w:rsidRPr="00F57279">
        <w:t>may</w:t>
      </w:r>
      <w:r w:rsidR="0005769A" w:rsidRPr="00F57279">
        <w:t xml:space="preserve"> sell</w:t>
      </w:r>
      <w:r w:rsidR="006F5044" w:rsidRPr="00F57279">
        <w:t xml:space="preserve">, transfer </w:t>
      </w:r>
      <w:r w:rsidR="00A300F0" w:rsidRPr="00F57279">
        <w:t xml:space="preserve">or otherwise dispose of the legal or beneficial ownership of, or mortgage or otherwise charge any of its </w:t>
      </w:r>
      <w:r w:rsidR="007F6337">
        <w:t>Shares</w:t>
      </w:r>
      <w:r w:rsidR="009530BC" w:rsidRPr="00F57279">
        <w:t xml:space="preserve"> </w:t>
      </w:r>
      <w:r w:rsidR="000A04B1" w:rsidRPr="00F57279">
        <w:t>unless the rights of p</w:t>
      </w:r>
      <w:r w:rsidR="00B20860">
        <w:t>re-emption set out in Schedule 4</w:t>
      </w:r>
      <w:r w:rsidR="000A04B1" w:rsidRPr="00F57279">
        <w:t xml:space="preserve"> have been exhausted.</w:t>
      </w:r>
      <w:bookmarkEnd w:id="13"/>
    </w:p>
    <w:p w14:paraId="2C83EB75" w14:textId="0D86F512" w:rsidR="00F57279" w:rsidRPr="00F57279" w:rsidRDefault="00F57279" w:rsidP="00AC5BBB">
      <w:pPr>
        <w:pStyle w:val="OutlinenumberedLevel2"/>
        <w:numPr>
          <w:ilvl w:val="1"/>
          <w:numId w:val="3"/>
        </w:numPr>
        <w:spacing w:before="0"/>
      </w:pPr>
      <w:bookmarkStart w:id="14" w:name="_Ref455235915"/>
      <w:r w:rsidRPr="00F57279">
        <w:rPr>
          <w:b/>
        </w:rPr>
        <w:t xml:space="preserve">Requirement to refuse registration:  </w:t>
      </w:r>
      <w:r w:rsidRPr="00F57279">
        <w:t>The Board must refuse the registration of a transfer of any S</w:t>
      </w:r>
      <w:r w:rsidR="007F6337">
        <w:t>hare</w:t>
      </w:r>
      <w:r w:rsidRPr="00F57279">
        <w:t xml:space="preserve"> </w:t>
      </w:r>
      <w:r>
        <w:t xml:space="preserve">if clause </w:t>
      </w:r>
      <w:r w:rsidR="00866215">
        <w:fldChar w:fldCharType="begin"/>
      </w:r>
      <w:r w:rsidR="00866215">
        <w:instrText xml:space="preserve"> REF _Ref455235925 \w \h </w:instrText>
      </w:r>
      <w:r w:rsidR="00866215">
        <w:fldChar w:fldCharType="separate"/>
      </w:r>
      <w:r w:rsidR="007E5370">
        <w:t>8.1</w:t>
      </w:r>
      <w:r w:rsidR="00866215">
        <w:fldChar w:fldCharType="end"/>
      </w:r>
      <w:r w:rsidRPr="00F57279">
        <w:t xml:space="preserve"> has not been complied with.</w:t>
      </w:r>
      <w:bookmarkEnd w:id="14"/>
    </w:p>
    <w:p w14:paraId="5BECB13B" w14:textId="5955499C" w:rsidR="00F57279" w:rsidRPr="00F57279" w:rsidRDefault="00F57279" w:rsidP="00AC5BBB">
      <w:pPr>
        <w:pStyle w:val="OutlinenumberedLevel2"/>
        <w:keepNext/>
        <w:numPr>
          <w:ilvl w:val="1"/>
          <w:numId w:val="3"/>
        </w:numPr>
        <w:spacing w:before="0"/>
      </w:pPr>
      <w:r w:rsidRPr="00F57279">
        <w:rPr>
          <w:b/>
        </w:rPr>
        <w:t>Exempt</w:t>
      </w:r>
      <w:r w:rsidRPr="00F57279">
        <w:t xml:space="preserve"> </w:t>
      </w:r>
      <w:r w:rsidRPr="00F57279">
        <w:rPr>
          <w:b/>
        </w:rPr>
        <w:t>transfers:</w:t>
      </w:r>
      <w:r w:rsidRPr="00F57279">
        <w:t xml:space="preserve">  </w:t>
      </w:r>
      <w:r>
        <w:t xml:space="preserve">The restrictions in clause </w:t>
      </w:r>
      <w:r w:rsidR="00866215">
        <w:fldChar w:fldCharType="begin"/>
      </w:r>
      <w:r w:rsidR="00866215">
        <w:instrText xml:space="preserve"> REF _Ref455235925 \w \h </w:instrText>
      </w:r>
      <w:r w:rsidR="00866215">
        <w:fldChar w:fldCharType="separate"/>
      </w:r>
      <w:r w:rsidR="007E5370">
        <w:t>8.1</w:t>
      </w:r>
      <w:r w:rsidR="00866215">
        <w:fldChar w:fldCharType="end"/>
      </w:r>
      <w:r w:rsidRPr="00F57279">
        <w:t xml:space="preserve"> do not apply</w:t>
      </w:r>
      <w:r w:rsidR="00663EA2" w:rsidRPr="00663EA2">
        <w:t xml:space="preserve"> </w:t>
      </w:r>
      <w:r w:rsidR="00663EA2" w:rsidRPr="00FF78FE">
        <w:t xml:space="preserve">to any </w:t>
      </w:r>
      <w:r w:rsidR="00663EA2">
        <w:t>Shares</w:t>
      </w:r>
      <w:r w:rsidR="00663EA2" w:rsidRPr="00FF78FE">
        <w:t xml:space="preserve"> transferred</w:t>
      </w:r>
      <w:r w:rsidRPr="00F57279">
        <w:t>:</w:t>
      </w:r>
    </w:p>
    <w:p w14:paraId="375408B5" w14:textId="57B9281A" w:rsidR="00F57279" w:rsidRPr="00FF78FE" w:rsidRDefault="008A2AF3" w:rsidP="00663EA2">
      <w:pPr>
        <w:pStyle w:val="OutlinenumberedLevel3"/>
      </w:pPr>
      <w:r>
        <w:t>w</w:t>
      </w:r>
      <w:r w:rsidR="00354E0D">
        <w:t xml:space="preserve">here </w:t>
      </w:r>
      <w:r w:rsidR="00F57279" w:rsidRPr="00FF78FE">
        <w:t>the Seller has exercised a Drag-Along Option (as defi</w:t>
      </w:r>
      <w:r w:rsidR="00B20860">
        <w:t>ned in paragraph 1 of Schedule 5</w:t>
      </w:r>
      <w:r w:rsidR="00F57279" w:rsidRPr="00FF78FE">
        <w:t>); or</w:t>
      </w:r>
    </w:p>
    <w:p w14:paraId="2DDED708" w14:textId="6E494054" w:rsidR="00F57279" w:rsidRDefault="004A2573" w:rsidP="00663EA2">
      <w:pPr>
        <w:pStyle w:val="OutlinenumberedLevel3"/>
      </w:pPr>
      <w:r>
        <w:t xml:space="preserve">by </w:t>
      </w:r>
      <w:r w:rsidR="00F57279" w:rsidRPr="00FF78FE">
        <w:t xml:space="preserve">a Remaining Shareholder </w:t>
      </w:r>
      <w:r>
        <w:t>on</w:t>
      </w:r>
      <w:r w:rsidR="00354E0D">
        <w:t xml:space="preserve"> the exercise of</w:t>
      </w:r>
      <w:r w:rsidR="00F57279" w:rsidRPr="00FF78FE">
        <w:t xml:space="preserve"> a </w:t>
      </w:r>
      <w:r w:rsidR="00A019A6">
        <w:t>Co-Sale</w:t>
      </w:r>
      <w:r w:rsidR="00F57279" w:rsidRPr="00FF78FE">
        <w:t xml:space="preserve"> Option (as defined in paragraph 3 of Schedule </w:t>
      </w:r>
      <w:r w:rsidR="00B20860">
        <w:t>5</w:t>
      </w:r>
      <w:r w:rsidR="009620A6">
        <w:t>).</w:t>
      </w:r>
    </w:p>
    <w:p w14:paraId="58EC0820" w14:textId="4D4236EA" w:rsidR="00F57279" w:rsidRPr="00577A00" w:rsidRDefault="00A019A6" w:rsidP="00AC5BBB">
      <w:pPr>
        <w:pStyle w:val="OutlinenumberedLevel2"/>
        <w:numPr>
          <w:ilvl w:val="1"/>
          <w:numId w:val="3"/>
        </w:numPr>
        <w:spacing w:before="0"/>
        <w:rPr>
          <w:rFonts w:eastAsia="MS Mincho"/>
        </w:rPr>
      </w:pPr>
      <w:bookmarkStart w:id="15" w:name="_Ref455235961"/>
      <w:r>
        <w:rPr>
          <w:b/>
        </w:rPr>
        <w:t>Drag-Along and Co-Sale</w:t>
      </w:r>
      <w:r w:rsidR="00F57279" w:rsidRPr="00577A00">
        <w:rPr>
          <w:b/>
        </w:rPr>
        <w:t xml:space="preserve">:  </w:t>
      </w:r>
      <w:r w:rsidR="00F57279" w:rsidRPr="00577A00">
        <w:t xml:space="preserve">If one or more Shareholder wishes, in one transaction or a series of linked transactions, to transfer </w:t>
      </w:r>
      <w:r w:rsidR="007F6337">
        <w:t>Shares</w:t>
      </w:r>
      <w:r w:rsidR="007F6337" w:rsidRPr="00F57279">
        <w:t xml:space="preserve"> </w:t>
      </w:r>
      <w:r w:rsidR="00F57279" w:rsidRPr="00577A00">
        <w:t xml:space="preserve">in the Company carrying </w:t>
      </w:r>
      <w:r w:rsidR="00F57279" w:rsidRPr="00CD79FF">
        <w:t>50%</w:t>
      </w:r>
      <w:r w:rsidR="00FE0376">
        <w:t xml:space="preserve"> or more</w:t>
      </w:r>
      <w:r w:rsidR="00F57279" w:rsidRPr="00577A00">
        <w:t xml:space="preserve"> of the Voting Rights to any other person the</w:t>
      </w:r>
      <w:r w:rsidR="00B20860">
        <w:t>n Schedule 5</w:t>
      </w:r>
      <w:r w:rsidR="00F57279" w:rsidRPr="00577A00">
        <w:t xml:space="preserve"> applies.</w:t>
      </w:r>
      <w:bookmarkEnd w:id="15"/>
    </w:p>
    <w:p w14:paraId="720092A2" w14:textId="77777777" w:rsidR="00F57279" w:rsidRPr="001F0A4F" w:rsidRDefault="00F57279" w:rsidP="00AC5BBB">
      <w:pPr>
        <w:pStyle w:val="OutlinenumberedLevel2"/>
        <w:spacing w:before="0"/>
      </w:pPr>
      <w:bookmarkStart w:id="16" w:name="_Ref455235760"/>
      <w:r w:rsidRPr="0066228A">
        <w:rPr>
          <w:b/>
        </w:rPr>
        <w:t>Deed of Accession required:</w:t>
      </w:r>
      <w:r w:rsidRPr="00117614">
        <w:t xml:space="preserve"> </w:t>
      </w:r>
      <w:r w:rsidRPr="001F0A4F">
        <w:t xml:space="preserve"> </w:t>
      </w:r>
      <w:r w:rsidR="00577A00">
        <w:t>N</w:t>
      </w:r>
      <w:r w:rsidRPr="001F0A4F">
        <w:t xml:space="preserve">o sale, transfer or other disposition of any </w:t>
      </w:r>
      <w:r w:rsidR="007F6337">
        <w:t>Shares</w:t>
      </w:r>
      <w:r w:rsidR="007F6337" w:rsidRPr="00F57279">
        <w:t xml:space="preserve"> </w:t>
      </w:r>
      <w:r w:rsidRPr="001F0A4F">
        <w:t>by a Shareholder will be valid unless and until the proposed transferee enters into a Deed of Accession and agrees to become bound by the terms of this Agreement.  Each of the Shareholders agrees that from the later of the date of the Deed of Accession and the date of the sale, transfe</w:t>
      </w:r>
      <w:r w:rsidR="00F137CB">
        <w:t>r or other disposition of any Shares</w:t>
      </w:r>
      <w:r w:rsidRPr="001F0A4F">
        <w:t xml:space="preserve"> to the proposed transferee </w:t>
      </w:r>
      <w:r>
        <w:t>this</w:t>
      </w:r>
      <w:r w:rsidRPr="001F0A4F">
        <w:t xml:space="preserve"> Agreement will be read as if that proposed transferee was a party</w:t>
      </w:r>
      <w:r>
        <w:t xml:space="preserve"> to it</w:t>
      </w:r>
      <w:r w:rsidRPr="001F0A4F">
        <w:t>, having all the rights and obligations of a party under this Agreement.</w:t>
      </w:r>
      <w:bookmarkEnd w:id="16"/>
    </w:p>
    <w:p w14:paraId="1B0636FB" w14:textId="77777777" w:rsidR="003212CF" w:rsidRDefault="00004147" w:rsidP="00AC5BBB">
      <w:pPr>
        <w:pStyle w:val="OutlinenumberedLevel1"/>
        <w:spacing w:before="0"/>
      </w:pPr>
      <w:bookmarkStart w:id="17" w:name="_Ref455235812"/>
      <w:r w:rsidRPr="001F0A4F">
        <w:t>NON-COMPETITION</w:t>
      </w:r>
      <w:bookmarkEnd w:id="17"/>
    </w:p>
    <w:p w14:paraId="587804D6" w14:textId="77777777" w:rsidR="006F67BA" w:rsidRPr="006F67BA" w:rsidRDefault="006F67BA" w:rsidP="00AC5BBB">
      <w:pPr>
        <w:pStyle w:val="OutlinenumberedLevel1"/>
        <w:numPr>
          <w:ilvl w:val="0"/>
          <w:numId w:val="0"/>
        </w:numPr>
        <w:spacing w:before="0"/>
        <w:ind w:left="567"/>
        <w:rPr>
          <w:rFonts w:ascii="Arial" w:hAnsi="Arial"/>
        </w:rPr>
      </w:pPr>
      <w:r w:rsidRPr="006F67BA">
        <w:rPr>
          <w:rFonts w:ascii="Arial" w:hAnsi="Arial"/>
          <w:highlight w:val="lightGray"/>
        </w:rPr>
        <w:t>[</w:t>
      </w:r>
      <w:r w:rsidRPr="001F05D2">
        <w:rPr>
          <w:rFonts w:ascii="Arial" w:hAnsi="Arial"/>
          <w:i/>
          <w:highlight w:val="lightGray"/>
        </w:rPr>
        <w:t>User note:  This clause 9 states that no shareholder can compete with the company while he or she is a shareholder or for 12 months after he or she stops being a shareholder.  In practice, this can prevent a founder or employee shareholder from working in the industry he or she knows best after he or she ceases to be employed by the company (because he or she is likely to still hold shar</w:t>
      </w:r>
      <w:r w:rsidR="00C63E95">
        <w:rPr>
          <w:rFonts w:ascii="Arial" w:hAnsi="Arial"/>
          <w:i/>
          <w:highlight w:val="lightGray"/>
        </w:rPr>
        <w:t xml:space="preserve">es in the company). </w:t>
      </w:r>
      <w:r w:rsidR="00F137CB">
        <w:rPr>
          <w:rFonts w:ascii="Arial" w:hAnsi="Arial"/>
          <w:i/>
          <w:highlight w:val="lightGray"/>
        </w:rPr>
        <w:t xml:space="preserve"> </w:t>
      </w:r>
      <w:r w:rsidRPr="001F05D2">
        <w:rPr>
          <w:rFonts w:ascii="Arial" w:hAnsi="Arial"/>
          <w:i/>
          <w:highlight w:val="lightGray"/>
        </w:rPr>
        <w:t>This is an area that needs careful thought as to whether the restraint is appropriate to the company (and the continuing shareholders) as well as to the leaving shareholder (if the leaving shareholder needs to retain the ability to work)</w:t>
      </w:r>
      <w:r w:rsidRPr="006F67BA">
        <w:rPr>
          <w:rFonts w:ascii="Arial" w:hAnsi="Arial"/>
          <w:highlight w:val="lightGray"/>
        </w:rPr>
        <w:t>.]</w:t>
      </w:r>
    </w:p>
    <w:p w14:paraId="0F5E74CA" w14:textId="77777777" w:rsidR="003212CF" w:rsidRPr="005179B6" w:rsidRDefault="00716E9F" w:rsidP="00AC5BBB">
      <w:pPr>
        <w:keepNext/>
        <w:ind w:left="567"/>
      </w:pPr>
      <w:r w:rsidRPr="001F0A4F">
        <w:t xml:space="preserve">Each Shareholder </w:t>
      </w:r>
      <w:r w:rsidR="003212CF" w:rsidRPr="001F0A4F">
        <w:t>agree</w:t>
      </w:r>
      <w:r w:rsidRPr="001F0A4F">
        <w:t>s</w:t>
      </w:r>
      <w:r w:rsidR="003212CF" w:rsidRPr="001F0A4F">
        <w:t xml:space="preserve"> and undertake</w:t>
      </w:r>
      <w:r w:rsidRPr="001F0A4F">
        <w:t>s</w:t>
      </w:r>
      <w:r w:rsidR="003212CF" w:rsidRPr="001F0A4F">
        <w:t xml:space="preserve"> that</w:t>
      </w:r>
      <w:r w:rsidR="00670CCC" w:rsidRPr="001F0A4F">
        <w:t xml:space="preserve">, at any time during which </w:t>
      </w:r>
      <w:r w:rsidRPr="001F0A4F">
        <w:t xml:space="preserve">it </w:t>
      </w:r>
      <w:r w:rsidR="003212CF" w:rsidRPr="001F0A4F">
        <w:t>(or any ent</w:t>
      </w:r>
      <w:r w:rsidR="00670CCC" w:rsidRPr="001F0A4F">
        <w:t xml:space="preserve">ity over </w:t>
      </w:r>
      <w:r w:rsidR="00670CCC" w:rsidRPr="005179B6">
        <w:t xml:space="preserve">which </w:t>
      </w:r>
      <w:r w:rsidRPr="005179B6">
        <w:t xml:space="preserve">it </w:t>
      </w:r>
      <w:r w:rsidR="009F0DDB" w:rsidRPr="005179B6">
        <w:t>has a c</w:t>
      </w:r>
      <w:r w:rsidR="003212CF" w:rsidRPr="005179B6">
        <w:t>ontr</w:t>
      </w:r>
      <w:r w:rsidR="009F0DDB" w:rsidRPr="005179B6">
        <w:t>olling i</w:t>
      </w:r>
      <w:r w:rsidR="003212CF" w:rsidRPr="005179B6">
        <w:t xml:space="preserve">nterest) is a Shareholder, and for a further period of </w:t>
      </w:r>
      <w:r w:rsidR="00CC245B">
        <w:t>[</w:t>
      </w:r>
      <w:r w:rsidR="003212CF" w:rsidRPr="00CC245B">
        <w:rPr>
          <w:i/>
        </w:rPr>
        <w:t>12</w:t>
      </w:r>
      <w:r w:rsidR="00CC245B">
        <w:t>]</w:t>
      </w:r>
      <w:r w:rsidR="003212CF" w:rsidRPr="005179B6">
        <w:t xml:space="preserve"> months after </w:t>
      </w:r>
      <w:r w:rsidR="003212CF" w:rsidRPr="005179B6">
        <w:lastRenderedPageBreak/>
        <w:t xml:space="preserve">ceasing to be a Shareholder, </w:t>
      </w:r>
      <w:r w:rsidRPr="005179B6">
        <w:t xml:space="preserve">it </w:t>
      </w:r>
      <w:r w:rsidR="003212CF" w:rsidRPr="005179B6">
        <w:t xml:space="preserve">will not anywhere in </w:t>
      </w:r>
      <w:r w:rsidR="001F05D2">
        <w:t>[</w:t>
      </w:r>
      <w:r w:rsidR="00D72EEF" w:rsidRPr="001F05D2">
        <w:rPr>
          <w:i/>
        </w:rPr>
        <w:t>Singapore</w:t>
      </w:r>
      <w:r w:rsidR="001F05D2" w:rsidRPr="001F05D2">
        <w:rPr>
          <w:i/>
        </w:rPr>
        <w:t xml:space="preserve"> or [insert names of any other countries in which the Company operates or expects to operate]</w:t>
      </w:r>
      <w:r w:rsidR="001F05D2">
        <w:t>]</w:t>
      </w:r>
      <w:r w:rsidR="000A04B1" w:rsidRPr="000A04B1">
        <w:t>:</w:t>
      </w:r>
    </w:p>
    <w:p w14:paraId="35B32434" w14:textId="77777777" w:rsidR="003212CF" w:rsidRPr="005179B6" w:rsidRDefault="003212CF" w:rsidP="00AC5BBB">
      <w:pPr>
        <w:pStyle w:val="OutlinenumberedLevel3"/>
        <w:spacing w:before="0"/>
      </w:pPr>
      <w:r w:rsidRPr="005179B6">
        <w:t xml:space="preserve">directly or indirectly engage in, conduct, carry on or be involved or interested in any business </w:t>
      </w:r>
      <w:r w:rsidR="002523A4">
        <w:t xml:space="preserve">the same </w:t>
      </w:r>
      <w:r w:rsidR="007C4593">
        <w:t xml:space="preserve">as </w:t>
      </w:r>
      <w:r w:rsidR="002523A4">
        <w:t xml:space="preserve">or similar to, or </w:t>
      </w:r>
      <w:r w:rsidR="00AA6ACE">
        <w:t>that is a material competitor of</w:t>
      </w:r>
      <w:r w:rsidR="002523A4">
        <w:t>,</w:t>
      </w:r>
      <w:r w:rsidR="00AA6ACE">
        <w:t xml:space="preserve"> </w:t>
      </w:r>
      <w:r w:rsidRPr="005179B6">
        <w:t xml:space="preserve">the Business, provided that this does not </w:t>
      </w:r>
      <w:r w:rsidR="00670CCC" w:rsidRPr="005179B6">
        <w:t>prevent the p</w:t>
      </w:r>
      <w:r w:rsidRPr="005179B6">
        <w:t xml:space="preserve">arties from holding in aggregate not more than 5% of the issued share capital of any public company listed on the </w:t>
      </w:r>
      <w:r w:rsidR="00C63E95">
        <w:t>[</w:t>
      </w:r>
      <w:r w:rsidR="00D72EEF" w:rsidRPr="00C63E95">
        <w:rPr>
          <w:i/>
        </w:rPr>
        <w:t>Singapore</w:t>
      </w:r>
      <w:r w:rsidRPr="00C63E95">
        <w:rPr>
          <w:i/>
        </w:rPr>
        <w:t xml:space="preserve"> Stock Exchange’s main board</w:t>
      </w:r>
      <w:r w:rsidR="00C63E95" w:rsidRPr="00C63E95">
        <w:t>]</w:t>
      </w:r>
      <w:r w:rsidR="0009450C">
        <w:t xml:space="preserve"> or any other stock exchange of similar or better standing</w:t>
      </w:r>
      <w:r w:rsidRPr="00C63E95">
        <w:t>;</w:t>
      </w:r>
      <w:r w:rsidR="00AA6ACE" w:rsidRPr="00C63E95">
        <w:t xml:space="preserve"> </w:t>
      </w:r>
      <w:r w:rsidR="00AA6ACE">
        <w:t>or</w:t>
      </w:r>
    </w:p>
    <w:p w14:paraId="3480A8EC" w14:textId="77777777" w:rsidR="00EA3E55" w:rsidRDefault="003212CF" w:rsidP="00AC5BBB">
      <w:pPr>
        <w:pStyle w:val="OutlinenumberedLevel3"/>
        <w:spacing w:before="0"/>
      </w:pPr>
      <w:r w:rsidRPr="005179B6">
        <w:t xml:space="preserve">solicit or entice any of the </w:t>
      </w:r>
      <w:r w:rsidR="00EA3E55" w:rsidRPr="005179B6">
        <w:t xml:space="preserve">officers, </w:t>
      </w:r>
      <w:r w:rsidRPr="005179B6">
        <w:t>employees</w:t>
      </w:r>
      <w:r w:rsidR="00EA3E55" w:rsidRPr="005179B6">
        <w:t xml:space="preserve"> or contractors</w:t>
      </w:r>
      <w:r w:rsidR="00704C67" w:rsidRPr="005179B6">
        <w:t xml:space="preserve"> of the Company</w:t>
      </w:r>
      <w:r w:rsidRPr="005179B6">
        <w:t xml:space="preserve"> to terminate th</w:t>
      </w:r>
      <w:r w:rsidR="00EA3E55" w:rsidRPr="005179B6">
        <w:t>eir position, employment or relationship with the</w:t>
      </w:r>
      <w:r w:rsidR="00EA3E55" w:rsidRPr="008B7C99">
        <w:t xml:space="preserve"> Company otherwise than as a result of normal recruiting practices which are not targeted at any particular officer, employee or contractor</w:t>
      </w:r>
      <w:r w:rsidR="00222BA4">
        <w:t>; or</w:t>
      </w:r>
    </w:p>
    <w:p w14:paraId="46DD2AE5" w14:textId="77777777" w:rsidR="00222BA4" w:rsidRPr="008B7C99" w:rsidRDefault="00222BA4" w:rsidP="00AC5BBB">
      <w:pPr>
        <w:pStyle w:val="OutlinenumberedLevel3"/>
        <w:spacing w:before="0"/>
      </w:pPr>
      <w:r w:rsidRPr="005179B6">
        <w:t xml:space="preserve">solicit or entice any of the </w:t>
      </w:r>
      <w:r>
        <w:t xml:space="preserve">customers or suppliers </w:t>
      </w:r>
      <w:r w:rsidRPr="005179B6">
        <w:t>of the Company to terminate their relationship with the</w:t>
      </w:r>
      <w:r>
        <w:t xml:space="preserve"> Company.</w:t>
      </w:r>
    </w:p>
    <w:p w14:paraId="2DC35FC5" w14:textId="77777777" w:rsidR="00111D56" w:rsidRPr="005179B6" w:rsidRDefault="00C62DB0" w:rsidP="00CC3147">
      <w:pPr>
        <w:pStyle w:val="OutlinenumberedLevel1"/>
        <w:spacing w:before="0"/>
      </w:pPr>
      <w:r w:rsidRPr="005179B6">
        <w:t>RECEIPT OF DOCUMENTS BY ELECTRONIC MEANS</w:t>
      </w:r>
    </w:p>
    <w:p w14:paraId="3B3DD478" w14:textId="77777777" w:rsidR="00A83306" w:rsidRPr="001F0A4F" w:rsidRDefault="00C62DB0" w:rsidP="00AC5BBB">
      <w:pPr>
        <w:keepNext/>
        <w:ind w:left="567"/>
      </w:pPr>
      <w:r w:rsidRPr="001F0A4F">
        <w:t xml:space="preserve">Each Shareholder notifies </w:t>
      </w:r>
      <w:r w:rsidR="00A83306" w:rsidRPr="001F0A4F">
        <w:t>the Company that:</w:t>
      </w:r>
    </w:p>
    <w:p w14:paraId="4E0CD982" w14:textId="77777777" w:rsidR="00A83306" w:rsidRPr="001F0A4F" w:rsidRDefault="00A83306" w:rsidP="00AC5BBB">
      <w:pPr>
        <w:pStyle w:val="OutlinenumberedLevel3"/>
        <w:spacing w:before="0"/>
      </w:pPr>
      <w:r w:rsidRPr="001F0A4F">
        <w:t xml:space="preserve">it wishes to receive </w:t>
      </w:r>
      <w:r w:rsidR="00EF1043" w:rsidRPr="001F0A4F">
        <w:t xml:space="preserve">by electronic means </w:t>
      </w:r>
      <w:r w:rsidR="00C62DB0" w:rsidRPr="001F0A4F">
        <w:t xml:space="preserve">all notices, statements, reports, accounts and other documents </w:t>
      </w:r>
      <w:r w:rsidRPr="001F0A4F">
        <w:t>to be sent to Shareholders; and</w:t>
      </w:r>
    </w:p>
    <w:p w14:paraId="5E0128DD" w14:textId="77777777" w:rsidR="00C62DB0" w:rsidRPr="001F0A4F" w:rsidRDefault="00A83306" w:rsidP="00AC5BBB">
      <w:pPr>
        <w:pStyle w:val="OutlinenumberedLevel3"/>
        <w:spacing w:before="0"/>
      </w:pPr>
      <w:r w:rsidRPr="001F0A4F">
        <w:t xml:space="preserve">the email address to send such documents to is the email address of that Shareholder listed </w:t>
      </w:r>
      <w:r w:rsidR="00C62DB0" w:rsidRPr="001F0A4F">
        <w:t xml:space="preserve">in Schedule </w:t>
      </w:r>
      <w:r w:rsidR="00B20860">
        <w:t>6</w:t>
      </w:r>
      <w:r w:rsidRPr="001F0A4F">
        <w:t>, or as otherwise notified to the Company from time to time in writing</w:t>
      </w:r>
      <w:r w:rsidR="00C62DB0" w:rsidRPr="001F0A4F">
        <w:t>.</w:t>
      </w:r>
    </w:p>
    <w:p w14:paraId="6D89A1EA" w14:textId="77777777" w:rsidR="00A120E5" w:rsidRPr="001F0A4F" w:rsidRDefault="00004147" w:rsidP="00AC5BBB">
      <w:pPr>
        <w:pStyle w:val="OutlinenumberedLevel1"/>
        <w:spacing w:before="0"/>
      </w:pPr>
      <w:r w:rsidRPr="001F0A4F">
        <w:t>GENERAL</w:t>
      </w:r>
    </w:p>
    <w:p w14:paraId="541582F8" w14:textId="6D9AC9E7" w:rsidR="00536C21" w:rsidRPr="001F0A4F" w:rsidRDefault="00AA6ACE" w:rsidP="00AC5BBB">
      <w:pPr>
        <w:pStyle w:val="OutlinenumberedLevel2"/>
        <w:spacing w:before="0"/>
      </w:pPr>
      <w:bookmarkStart w:id="18" w:name="_Ref455235945"/>
      <w:r>
        <w:rPr>
          <w:b/>
        </w:rPr>
        <w:t>C</w:t>
      </w:r>
      <w:r w:rsidR="00115081">
        <w:rPr>
          <w:b/>
        </w:rPr>
        <w:t xml:space="preserve">onflict with </w:t>
      </w:r>
      <w:r w:rsidR="001F05D2">
        <w:rPr>
          <w:b/>
        </w:rPr>
        <w:t>Constitution</w:t>
      </w:r>
      <w:r w:rsidR="00536C21" w:rsidRPr="0066228A">
        <w:rPr>
          <w:b/>
        </w:rPr>
        <w:t>:</w:t>
      </w:r>
      <w:r w:rsidR="00536C21" w:rsidRPr="001F0A4F">
        <w:t xml:space="preserve"> </w:t>
      </w:r>
      <w:r w:rsidR="00AB3C69">
        <w:t xml:space="preserve"> </w:t>
      </w:r>
      <w:r w:rsidR="00536C21" w:rsidRPr="001F0A4F">
        <w:t xml:space="preserve">To the extent of any inconsistency or conflict, the provisions of this Agreement </w:t>
      </w:r>
      <w:r w:rsidR="0000486C" w:rsidRPr="001F0A4F">
        <w:t>will</w:t>
      </w:r>
      <w:r w:rsidR="00536C21" w:rsidRPr="001F0A4F">
        <w:t xml:space="preserve"> prev</w:t>
      </w:r>
      <w:r w:rsidR="002D038E" w:rsidRPr="001F0A4F">
        <w:t xml:space="preserve">ail over the provisions of the </w:t>
      </w:r>
      <w:r w:rsidR="00083553">
        <w:t>Constitution</w:t>
      </w:r>
      <w:r w:rsidR="00536C21" w:rsidRPr="001F0A4F">
        <w:t>.  In order t</w:t>
      </w:r>
      <w:r w:rsidR="0066561F" w:rsidRPr="001F0A4F">
        <w:t xml:space="preserve">o give effect to this clause </w:t>
      </w:r>
      <w:r w:rsidR="00866215">
        <w:fldChar w:fldCharType="begin"/>
      </w:r>
      <w:r w:rsidR="00866215">
        <w:instrText xml:space="preserve"> REF _Ref455235945 \w \h </w:instrText>
      </w:r>
      <w:r w:rsidR="00866215">
        <w:fldChar w:fldCharType="separate"/>
      </w:r>
      <w:r w:rsidR="007E5370">
        <w:t>11.1</w:t>
      </w:r>
      <w:r w:rsidR="00866215">
        <w:fldChar w:fldCharType="end"/>
      </w:r>
      <w:r w:rsidR="0030216C" w:rsidRPr="001F0A4F">
        <w:t>,</w:t>
      </w:r>
      <w:r w:rsidR="00536C21" w:rsidRPr="001F0A4F">
        <w:t xml:space="preserve"> if any such inconsistency or conflict is identified or becomes apparent then the parties </w:t>
      </w:r>
      <w:r w:rsidR="000353F8" w:rsidRPr="001F0A4F">
        <w:t>must</w:t>
      </w:r>
      <w:r w:rsidR="00536C21" w:rsidRPr="001F0A4F">
        <w:t xml:space="preserve"> do all things and sign all documents, including where necessary making amendments to the </w:t>
      </w:r>
      <w:r w:rsidR="00D145D3">
        <w:t>Constitution</w:t>
      </w:r>
      <w:r w:rsidR="00536C21" w:rsidRPr="001F0A4F">
        <w:t>, as may be necessary to remove the inconsistency or conflict.</w:t>
      </w:r>
      <w:bookmarkEnd w:id="18"/>
    </w:p>
    <w:p w14:paraId="584E52C3" w14:textId="77777777" w:rsidR="00DD6C57" w:rsidRPr="001F0A4F" w:rsidRDefault="00DD6C57" w:rsidP="00AC5BBB">
      <w:pPr>
        <w:pStyle w:val="OutlinenumberedLevel2"/>
        <w:spacing w:before="0"/>
      </w:pPr>
      <w:r w:rsidRPr="0066228A">
        <w:rPr>
          <w:b/>
        </w:rPr>
        <w:t>Confidentiality:</w:t>
      </w:r>
      <w:r w:rsidR="00AB3C69">
        <w:t xml:space="preserve">  </w:t>
      </w:r>
      <w:r w:rsidRPr="001F0A4F">
        <w:t>Each party must keep this Agreement, its terms and information it receives about the Company and its business in connection with this Agreement (</w:t>
      </w:r>
      <w:r w:rsidRPr="007C4593">
        <w:rPr>
          <w:b/>
        </w:rPr>
        <w:t>Confidential Information</w:t>
      </w:r>
      <w:r w:rsidRPr="001F0A4F">
        <w:t>) confidential, and must not use or disclose that Confidential Information without the prior written consent of the other parties except to the extent that:</w:t>
      </w:r>
    </w:p>
    <w:p w14:paraId="4FC9E78B" w14:textId="77777777" w:rsidR="00DD6C57" w:rsidRPr="001F0A4F" w:rsidRDefault="00DD6C57" w:rsidP="00AC5BBB">
      <w:pPr>
        <w:pStyle w:val="OutlinenumberedLevel3"/>
        <w:spacing w:before="0"/>
      </w:pPr>
      <w:r w:rsidRPr="001F0A4F">
        <w:t>disclosure is required by law;</w:t>
      </w:r>
    </w:p>
    <w:p w14:paraId="0FC49E22" w14:textId="77777777" w:rsidR="00DD6C57" w:rsidRPr="001F0A4F" w:rsidRDefault="00DD6C57" w:rsidP="00AC5BBB">
      <w:pPr>
        <w:pStyle w:val="OutlinenumberedLevel3"/>
        <w:spacing w:before="0"/>
      </w:pPr>
      <w:r w:rsidRPr="001F0A4F">
        <w:t xml:space="preserve">the relevant information is </w:t>
      </w:r>
      <w:r w:rsidR="00F3275B">
        <w:t>already in the public domain;</w:t>
      </w:r>
    </w:p>
    <w:p w14:paraId="04F341A4" w14:textId="77777777" w:rsidR="00F3275B" w:rsidRDefault="00DD6C57" w:rsidP="00AC5BBB">
      <w:pPr>
        <w:pStyle w:val="OutlinenumberedLevel3"/>
        <w:numPr>
          <w:ilvl w:val="2"/>
          <w:numId w:val="3"/>
        </w:numPr>
        <w:tabs>
          <w:tab w:val="num" w:pos="1134"/>
        </w:tabs>
        <w:spacing w:before="0"/>
      </w:pPr>
      <w:r w:rsidRPr="001F0A4F">
        <w:t>it is reasonably required to obtain professional advice</w:t>
      </w:r>
      <w:r w:rsidR="00F3275B">
        <w:t>; or</w:t>
      </w:r>
    </w:p>
    <w:p w14:paraId="0329E867" w14:textId="77777777" w:rsidR="00F3275B" w:rsidRDefault="00F3275B" w:rsidP="00AC5BBB">
      <w:pPr>
        <w:pStyle w:val="OutlinenumberedLevel3"/>
        <w:keepNext/>
        <w:numPr>
          <w:ilvl w:val="2"/>
          <w:numId w:val="3"/>
        </w:numPr>
        <w:tabs>
          <w:tab w:val="num" w:pos="1134"/>
        </w:tabs>
        <w:spacing w:before="0"/>
        <w:ind w:left="1134"/>
      </w:pPr>
      <w:r w:rsidRPr="00B67DC6">
        <w:lastRenderedPageBreak/>
        <w:t>it is reasonably necessa</w:t>
      </w:r>
      <w:r>
        <w:t xml:space="preserve">ry </w:t>
      </w:r>
      <w:r w:rsidRPr="00B67DC6">
        <w:t>in connection with</w:t>
      </w:r>
      <w:r>
        <w:t xml:space="preserve"> any proposed:</w:t>
      </w:r>
    </w:p>
    <w:p w14:paraId="79C57741" w14:textId="77777777" w:rsidR="00F3275B" w:rsidRDefault="00F3275B" w:rsidP="00AC5BBB">
      <w:pPr>
        <w:pStyle w:val="OutlinenumberedLevel4"/>
        <w:numPr>
          <w:ilvl w:val="3"/>
          <w:numId w:val="7"/>
        </w:numPr>
        <w:spacing w:before="0"/>
      </w:pPr>
      <w:r>
        <w:t>financing of that party;</w:t>
      </w:r>
    </w:p>
    <w:p w14:paraId="277CEF87" w14:textId="77777777" w:rsidR="00F3275B" w:rsidRDefault="00F3275B" w:rsidP="00AC5BBB">
      <w:pPr>
        <w:pStyle w:val="OutlinenumberedLevel4"/>
        <w:numPr>
          <w:ilvl w:val="3"/>
          <w:numId w:val="7"/>
        </w:numPr>
        <w:spacing w:before="0"/>
      </w:pPr>
      <w:r>
        <w:t xml:space="preserve">sale of that party’s interest in the Company; or </w:t>
      </w:r>
    </w:p>
    <w:p w14:paraId="7EFDE2A2" w14:textId="77777777" w:rsidR="009A2AD4" w:rsidRDefault="00F3275B" w:rsidP="00AC5BBB">
      <w:pPr>
        <w:pStyle w:val="OutlinenumberedLevel4"/>
        <w:numPr>
          <w:ilvl w:val="3"/>
          <w:numId w:val="7"/>
        </w:numPr>
        <w:spacing w:before="0"/>
      </w:pPr>
      <w:r>
        <w:t>sale of all or part of the business of, or the shares in, that party</w:t>
      </w:r>
      <w:r w:rsidR="00A63B98">
        <w:t>,</w:t>
      </w:r>
    </w:p>
    <w:p w14:paraId="6CEC63D3" w14:textId="77777777" w:rsidR="00F3275B" w:rsidRDefault="009A2AD4" w:rsidP="00AC5BBB">
      <w:pPr>
        <w:pStyle w:val="OutlinenumberedLevel4"/>
        <w:numPr>
          <w:ilvl w:val="0"/>
          <w:numId w:val="0"/>
        </w:numPr>
        <w:spacing w:before="0"/>
        <w:ind w:left="1134"/>
      </w:pPr>
      <w:r>
        <w:t>and the party receiving the Confidential Information has entered into confidentiality undertakings substantially the same as those set out in this clause</w:t>
      </w:r>
      <w:r w:rsidR="00F3275B">
        <w:t>.</w:t>
      </w:r>
    </w:p>
    <w:p w14:paraId="43BE82F9" w14:textId="77777777" w:rsidR="002D038E" w:rsidRPr="001F0A4F" w:rsidRDefault="002D038E" w:rsidP="00AC5BBB">
      <w:pPr>
        <w:pStyle w:val="OutlinenumberedLevel2"/>
        <w:spacing w:before="0"/>
      </w:pPr>
      <w:r w:rsidRPr="0066228A">
        <w:rPr>
          <w:b/>
        </w:rPr>
        <w:t>Notices:</w:t>
      </w:r>
      <w:r w:rsidRPr="001F0A4F">
        <w:t xml:space="preserve"> </w:t>
      </w:r>
      <w:r w:rsidR="0066228A">
        <w:t xml:space="preserve"> </w:t>
      </w:r>
      <w:r w:rsidRPr="001F0A4F">
        <w:t xml:space="preserve">All notices and communications given under this Agreement </w:t>
      </w:r>
      <w:r w:rsidR="0000486C" w:rsidRPr="001F0A4F">
        <w:t>must</w:t>
      </w:r>
      <w:r w:rsidRPr="001F0A4F">
        <w:t xml:space="preserve"> be in writing and </w:t>
      </w:r>
      <w:r w:rsidR="0000486C" w:rsidRPr="001F0A4F">
        <w:t>will</w:t>
      </w:r>
      <w:r w:rsidRPr="001F0A4F">
        <w:t xml:space="preserve"> be delivered personally, sent by post, sent by email, </w:t>
      </w:r>
      <w:r w:rsidR="00C63E95">
        <w:t xml:space="preserve">to the address </w:t>
      </w:r>
      <w:r w:rsidRPr="001F0A4F">
        <w:t xml:space="preserve">or email address set out </w:t>
      </w:r>
      <w:r w:rsidR="00716E9F" w:rsidRPr="001F0A4F">
        <w:t xml:space="preserve">in </w:t>
      </w:r>
      <w:r w:rsidR="005005AF" w:rsidRPr="001F0A4F">
        <w:t xml:space="preserve">Schedule </w:t>
      </w:r>
      <w:r w:rsidR="00B20860">
        <w:t>6</w:t>
      </w:r>
      <w:r w:rsidR="005005AF" w:rsidRPr="001F0A4F">
        <w:t xml:space="preserve"> </w:t>
      </w:r>
      <w:r w:rsidRPr="001F0A4F">
        <w:t>(or at such other address as notified from time to time by the party changing its add</w:t>
      </w:r>
      <w:r w:rsidR="005005AF" w:rsidRPr="001F0A4F">
        <w:t>ress).</w:t>
      </w:r>
    </w:p>
    <w:p w14:paraId="7EB364E4" w14:textId="77777777" w:rsidR="002D038E" w:rsidRPr="001F0A4F" w:rsidRDefault="002D038E" w:rsidP="00AC5BBB">
      <w:pPr>
        <w:pStyle w:val="OutlinenumberedLevel2"/>
        <w:spacing w:before="0"/>
      </w:pPr>
      <w:r w:rsidRPr="0066228A">
        <w:rPr>
          <w:b/>
        </w:rPr>
        <w:t>Time of service:</w:t>
      </w:r>
      <w:r w:rsidRPr="001F0A4F">
        <w:t xml:space="preserve">  Any notice given under this Agreement will be deemed to be validly given:</w:t>
      </w:r>
    </w:p>
    <w:p w14:paraId="4332883F" w14:textId="77777777" w:rsidR="002D038E" w:rsidRPr="001F0A4F" w:rsidRDefault="002D038E" w:rsidP="00AC5BBB">
      <w:pPr>
        <w:pStyle w:val="OutlinenumberedLevel3"/>
        <w:spacing w:before="0"/>
      </w:pPr>
      <w:r w:rsidRPr="001F0A4F">
        <w:t>in the case of delivery, when received;</w:t>
      </w:r>
    </w:p>
    <w:p w14:paraId="04A1B7D3" w14:textId="77777777" w:rsidR="002D038E" w:rsidRPr="001F0A4F" w:rsidRDefault="002D038E" w:rsidP="00AC5BBB">
      <w:pPr>
        <w:pStyle w:val="OutlinenumberedLevel3"/>
        <w:spacing w:before="0"/>
      </w:pPr>
      <w:r w:rsidRPr="001F0A4F">
        <w:t>in the case of posting, on the second day following the date of posting; or</w:t>
      </w:r>
    </w:p>
    <w:p w14:paraId="4B15D273" w14:textId="77777777" w:rsidR="002D038E" w:rsidRPr="001F0A4F" w:rsidRDefault="002D038E" w:rsidP="00AC5BBB">
      <w:pPr>
        <w:pStyle w:val="OutlinenumberedLevel3"/>
        <w:spacing w:before="0"/>
      </w:pPr>
      <w:r w:rsidRPr="001F0A4F">
        <w:t>if emailed, one hour after the email is sent unless a return mail is received by the sender within that one hour period stating that the addressee’s email address is wrong or that the message cannot be delivered,</w:t>
      </w:r>
    </w:p>
    <w:p w14:paraId="1F37537B" w14:textId="77777777" w:rsidR="002D038E" w:rsidRPr="008B7C99" w:rsidRDefault="002D038E" w:rsidP="00AC5BBB">
      <w:pPr>
        <w:ind w:left="567"/>
      </w:pPr>
      <w:r w:rsidRPr="008B7C99">
        <w:rPr>
          <w:lang w:eastAsia="en-US"/>
        </w:rPr>
        <w:t>provided that any notice received after 5 pm on a Business Day or on any day that is not a Business Day will be deemed to have</w:t>
      </w:r>
      <w:r w:rsidRPr="008B7C99">
        <w:t xml:space="preserve"> been received on the next Business Day.</w:t>
      </w:r>
    </w:p>
    <w:p w14:paraId="288A5706" w14:textId="77777777" w:rsidR="001A4EF0" w:rsidRPr="001F0A4F" w:rsidRDefault="00F52E27" w:rsidP="00AC5BBB">
      <w:pPr>
        <w:pStyle w:val="OutlinenumberedLevel2"/>
        <w:spacing w:before="0"/>
      </w:pPr>
      <w:r w:rsidRPr="0066228A">
        <w:rPr>
          <w:b/>
        </w:rPr>
        <w:t>Entire a</w:t>
      </w:r>
      <w:r w:rsidR="001A4EF0" w:rsidRPr="0066228A">
        <w:rPr>
          <w:b/>
        </w:rPr>
        <w:t>greement:</w:t>
      </w:r>
      <w:r w:rsidR="001A4EF0" w:rsidRPr="001F0A4F">
        <w:t xml:space="preserve">  This Agreement contains all of the terms </w:t>
      </w:r>
      <w:r w:rsidR="007C4593">
        <w:t xml:space="preserve">agreed </w:t>
      </w:r>
      <w:r w:rsidR="001A4EF0" w:rsidRPr="001F0A4F">
        <w:t xml:space="preserve">between the parties </w:t>
      </w:r>
      <w:r w:rsidR="00A11BC1" w:rsidRPr="001F0A4F">
        <w:t xml:space="preserve">relating to the matters dealt with in this Agreement </w:t>
      </w:r>
      <w:r w:rsidR="001A4EF0" w:rsidRPr="001F0A4F">
        <w:t>and supersedes all prior discussions and agreements covering the subject matter of this Agreement.</w:t>
      </w:r>
    </w:p>
    <w:p w14:paraId="5E3943A4" w14:textId="77777777" w:rsidR="001A4EF0" w:rsidRPr="001F0A4F" w:rsidRDefault="00F52E27" w:rsidP="00AC5BBB">
      <w:pPr>
        <w:pStyle w:val="OutlinenumberedLevel2"/>
        <w:spacing w:before="0"/>
      </w:pPr>
      <w:r w:rsidRPr="0066228A">
        <w:rPr>
          <w:b/>
        </w:rPr>
        <w:t>Further a</w:t>
      </w:r>
      <w:r w:rsidR="001A4EF0" w:rsidRPr="0066228A">
        <w:rPr>
          <w:b/>
        </w:rPr>
        <w:t>ssurances:</w:t>
      </w:r>
      <w:r w:rsidR="001A4EF0" w:rsidRPr="001F0A4F">
        <w:t xml:space="preserve">  The parties must each sign</w:t>
      </w:r>
      <w:r w:rsidR="004B361C" w:rsidRPr="001F0A4F">
        <w:t xml:space="preserve"> all further documents</w:t>
      </w:r>
      <w:r w:rsidR="000353F8" w:rsidRPr="001F0A4F">
        <w:t xml:space="preserve">, </w:t>
      </w:r>
      <w:r w:rsidR="001A4EF0" w:rsidRPr="001F0A4F">
        <w:t xml:space="preserve">pass </w:t>
      </w:r>
      <w:r w:rsidR="004B361C" w:rsidRPr="001F0A4F">
        <w:t xml:space="preserve">all resolutions </w:t>
      </w:r>
      <w:r w:rsidR="001A4EF0" w:rsidRPr="001F0A4F">
        <w:t xml:space="preserve">and do all further things as may be necessary or desirable </w:t>
      </w:r>
      <w:r w:rsidR="004B361C" w:rsidRPr="001F0A4F">
        <w:t>to give effect to</w:t>
      </w:r>
      <w:r w:rsidR="001A4EF0" w:rsidRPr="001F0A4F">
        <w:t xml:space="preserve"> this Agreement.</w:t>
      </w:r>
    </w:p>
    <w:p w14:paraId="55E4C8D6" w14:textId="77777777" w:rsidR="001A4EF0" w:rsidRPr="001F0A4F" w:rsidRDefault="001A4EF0" w:rsidP="00AC5BBB">
      <w:pPr>
        <w:pStyle w:val="OutlinenumberedLevel2"/>
        <w:spacing w:before="0"/>
      </w:pPr>
      <w:r w:rsidRPr="0066228A">
        <w:rPr>
          <w:b/>
        </w:rPr>
        <w:t>Amendments:</w:t>
      </w:r>
      <w:r w:rsidRPr="001F0A4F">
        <w:t xml:space="preserve">  </w:t>
      </w:r>
      <w:r w:rsidR="00DD6C57" w:rsidRPr="001F0A4F">
        <w:t>This Agreement may only be amended by agreement of the parties in writing.</w:t>
      </w:r>
    </w:p>
    <w:p w14:paraId="44F9A6EA" w14:textId="77777777" w:rsidR="001A4EF0" w:rsidRPr="001F0A4F" w:rsidRDefault="001A4EF0" w:rsidP="00AC5BBB">
      <w:pPr>
        <w:pStyle w:val="OutlinenumberedLevel2"/>
        <w:spacing w:before="0"/>
      </w:pPr>
      <w:r w:rsidRPr="0066228A">
        <w:rPr>
          <w:b/>
        </w:rPr>
        <w:t>Waiver:</w:t>
      </w:r>
      <w:r w:rsidRPr="001F0A4F">
        <w:t xml:space="preserve">  No exercise or failure to exercise or delay in exercising any right or remedy will constitute a waiver by that party of that or any other right or remedy available to it.</w:t>
      </w:r>
    </w:p>
    <w:p w14:paraId="38852B6F" w14:textId="77777777" w:rsidR="001A4EF0" w:rsidRPr="001F0A4F" w:rsidRDefault="00F52E27" w:rsidP="00AC5BBB">
      <w:pPr>
        <w:pStyle w:val="OutlinenumberedLevel2"/>
        <w:spacing w:before="0"/>
      </w:pPr>
      <w:r w:rsidRPr="0066228A">
        <w:rPr>
          <w:b/>
        </w:rPr>
        <w:t>No p</w:t>
      </w:r>
      <w:r w:rsidR="001A4EF0" w:rsidRPr="0066228A">
        <w:rPr>
          <w:b/>
        </w:rPr>
        <w:t>artnership:</w:t>
      </w:r>
      <w:r w:rsidR="001A4EF0" w:rsidRPr="001F0A4F">
        <w:t xml:space="preserve">  Nothing contained in this Agreement </w:t>
      </w:r>
      <w:r w:rsidR="0000486C" w:rsidRPr="001F0A4F">
        <w:t>will</w:t>
      </w:r>
      <w:r w:rsidR="001A4EF0" w:rsidRPr="001F0A4F">
        <w:t xml:space="preserve"> be deemed or construed to constitute any party to be a partner, agent or representative of any other party, or to create any </w:t>
      </w:r>
      <w:r w:rsidR="00AA5B1D" w:rsidRPr="001F0A4F">
        <w:t>trust</w:t>
      </w:r>
      <w:r w:rsidR="001A4EF0" w:rsidRPr="001F0A4F">
        <w:t xml:space="preserve"> or commercial partnership.</w:t>
      </w:r>
    </w:p>
    <w:p w14:paraId="67E025A7" w14:textId="77777777" w:rsidR="001A4EF0" w:rsidRPr="001F0A4F" w:rsidRDefault="00F52E27" w:rsidP="00AC5BBB">
      <w:pPr>
        <w:pStyle w:val="OutlinenumberedLevel2"/>
        <w:spacing w:before="0"/>
      </w:pPr>
      <w:r w:rsidRPr="0066228A">
        <w:rPr>
          <w:b/>
        </w:rPr>
        <w:t>No a</w:t>
      </w:r>
      <w:r w:rsidR="001A4EF0" w:rsidRPr="0066228A">
        <w:rPr>
          <w:b/>
        </w:rPr>
        <w:t>ssignment:</w:t>
      </w:r>
      <w:r w:rsidR="001A4EF0" w:rsidRPr="001F0A4F">
        <w:t xml:space="preserve"> </w:t>
      </w:r>
      <w:r w:rsidR="002F0265" w:rsidRPr="001F0A4F">
        <w:t xml:space="preserve"> </w:t>
      </w:r>
      <w:r w:rsidR="001A4EF0" w:rsidRPr="001F0A4F">
        <w:t xml:space="preserve">No party may assign </w:t>
      </w:r>
      <w:r w:rsidR="00AA5B1D" w:rsidRPr="001F0A4F">
        <w:t>any</w:t>
      </w:r>
      <w:r w:rsidR="001A4EF0" w:rsidRPr="001F0A4F">
        <w:t xml:space="preserve"> of its rights or obligations under this Agreement without the prior written c</w:t>
      </w:r>
      <w:r w:rsidR="002F0265" w:rsidRPr="001F0A4F">
        <w:t>onsent of the other parties.</w:t>
      </w:r>
    </w:p>
    <w:p w14:paraId="1D1159D4" w14:textId="77777777" w:rsidR="007142EF" w:rsidRPr="001F0A4F" w:rsidRDefault="007142EF" w:rsidP="00AC5BBB">
      <w:pPr>
        <w:pStyle w:val="OutlinenumberedLevel2"/>
        <w:spacing w:before="0"/>
      </w:pPr>
      <w:r w:rsidRPr="0066228A">
        <w:rPr>
          <w:b/>
        </w:rPr>
        <w:lastRenderedPageBreak/>
        <w:t>Costs:</w:t>
      </w:r>
      <w:r w:rsidRPr="001F0A4F">
        <w:t xml:space="preserve">  Except as otherwise provided in this Agreement, the parties will meet their own costs relating to the negotiation, preparation and implementation of this Agreement.</w:t>
      </w:r>
    </w:p>
    <w:p w14:paraId="3DAFCB8B" w14:textId="77777777" w:rsidR="001A4EF0" w:rsidRPr="001F0A4F" w:rsidRDefault="00F52E27" w:rsidP="00AC5BBB">
      <w:pPr>
        <w:pStyle w:val="OutlinenumberedLevel2"/>
        <w:spacing w:before="0"/>
      </w:pPr>
      <w:r w:rsidRPr="0066228A">
        <w:rPr>
          <w:b/>
        </w:rPr>
        <w:t>Partial i</w:t>
      </w:r>
      <w:r w:rsidR="001A4EF0" w:rsidRPr="0066228A">
        <w:rPr>
          <w:b/>
        </w:rPr>
        <w:t>nvalidity:</w:t>
      </w:r>
      <w:r w:rsidR="001A4EF0" w:rsidRPr="001F0A4F">
        <w:t xml:space="preserve">  If any provision of this Agreement becomes invalid or unenforceable to any extent, the remainder of this Agreement and its application will not be affected and will remain enforceable to the greatest extent permitted by law.</w:t>
      </w:r>
    </w:p>
    <w:p w14:paraId="1C206FCF" w14:textId="77777777" w:rsidR="00DD6C57" w:rsidRDefault="00DD6C57" w:rsidP="00AC5BBB">
      <w:pPr>
        <w:pStyle w:val="OutlinenumberedLevel2"/>
        <w:spacing w:before="0"/>
      </w:pPr>
      <w:r w:rsidRPr="0066228A">
        <w:rPr>
          <w:b/>
        </w:rPr>
        <w:t>Signature:</w:t>
      </w:r>
      <w:r w:rsidRPr="001F0A4F">
        <w:t xml:space="preserve">  This Agreement may be executed in two or more counterparts, each of which </w:t>
      </w:r>
      <w:r w:rsidR="00EE3FF9">
        <w:t xml:space="preserve">is </w:t>
      </w:r>
      <w:r w:rsidRPr="001F0A4F">
        <w:t>deemed an original</w:t>
      </w:r>
      <w:r w:rsidR="00EE3FF9">
        <w:t xml:space="preserve"> and all of which constitute the same Agreement</w:t>
      </w:r>
      <w:r w:rsidRPr="001F0A4F">
        <w:t xml:space="preserve">.  </w:t>
      </w:r>
      <w:r w:rsidR="000D738E">
        <w:t xml:space="preserve">A party may enter into this Agreement by signing </w:t>
      </w:r>
      <w:r w:rsidR="000E418D">
        <w:t>and sending (including by email) a counterpart copy to each other party</w:t>
      </w:r>
      <w:r w:rsidRPr="001F0A4F">
        <w:t>.</w:t>
      </w:r>
    </w:p>
    <w:p w14:paraId="61D55BF9" w14:textId="32CD90FB" w:rsidR="00D86C1D" w:rsidRPr="00D86C1D" w:rsidRDefault="00D86C1D" w:rsidP="00D86C1D">
      <w:pPr>
        <w:pStyle w:val="OutlinenumberedLevel1"/>
      </w:pPr>
      <w:r>
        <w:t>GOVERNING LAW</w:t>
      </w:r>
    </w:p>
    <w:p w14:paraId="236E29A6" w14:textId="4BE79574" w:rsidR="00A576F7" w:rsidRDefault="00A576F7" w:rsidP="00F96563">
      <w:pPr>
        <w:pStyle w:val="OutlinenumberedLevel2"/>
        <w:numPr>
          <w:ilvl w:val="0"/>
          <w:numId w:val="0"/>
        </w:numPr>
        <w:spacing w:before="0"/>
        <w:ind w:left="567"/>
      </w:pPr>
      <w:r w:rsidRPr="001F0A4F">
        <w:t>This Agreement</w:t>
      </w:r>
      <w:r>
        <w:t xml:space="preserve">, and </w:t>
      </w:r>
      <w:r w:rsidR="00D86C1D">
        <w:t>disputes or claims</w:t>
      </w:r>
      <w:r>
        <w:t xml:space="preserve"> arising from or in connection with it, will be governed by, and interpreted in accordance with, the laws of [</w:t>
      </w:r>
      <w:r>
        <w:rPr>
          <w:i/>
        </w:rPr>
        <w:t>Singapore</w:t>
      </w:r>
      <w:r>
        <w:t>]</w:t>
      </w:r>
      <w:r w:rsidRPr="001F0A4F">
        <w:t>.</w:t>
      </w:r>
    </w:p>
    <w:p w14:paraId="544089CA" w14:textId="302F0A90" w:rsidR="00D42618" w:rsidRPr="00D42618" w:rsidRDefault="00D42618" w:rsidP="00C2698D">
      <w:pPr>
        <w:pStyle w:val="OutlinenumberedLevel1"/>
        <w:keepNext w:val="0"/>
        <w:numPr>
          <w:ilvl w:val="0"/>
          <w:numId w:val="0"/>
        </w:numPr>
        <w:spacing w:before="0"/>
        <w:ind w:left="567"/>
        <w:rPr>
          <w:rFonts w:ascii="Arial" w:hAnsi="Arial"/>
        </w:rPr>
      </w:pPr>
      <w:r w:rsidRPr="00D4400B">
        <w:rPr>
          <w:rFonts w:ascii="Arial" w:hAnsi="Arial"/>
          <w:highlight w:val="lightGray"/>
        </w:rPr>
        <w:t>[</w:t>
      </w:r>
      <w:r w:rsidRPr="00D42618">
        <w:rPr>
          <w:rFonts w:ascii="Arial" w:hAnsi="Arial"/>
          <w:i/>
          <w:highlight w:val="lightGray"/>
        </w:rPr>
        <w:t>User note:  The clause</w:t>
      </w:r>
      <w:r w:rsidR="00D86C1D">
        <w:rPr>
          <w:rFonts w:ascii="Arial" w:hAnsi="Arial"/>
          <w:i/>
          <w:highlight w:val="lightGray"/>
        </w:rPr>
        <w:t>s</w:t>
      </w:r>
      <w:r w:rsidRPr="00D42618">
        <w:rPr>
          <w:rFonts w:ascii="Arial" w:hAnsi="Arial"/>
          <w:i/>
          <w:highlight w:val="lightGray"/>
        </w:rPr>
        <w:t xml:space="preserve"> below provide that disputes </w:t>
      </w:r>
      <w:r w:rsidR="00D86C1D">
        <w:rPr>
          <w:rFonts w:ascii="Arial" w:hAnsi="Arial"/>
          <w:i/>
          <w:highlight w:val="lightGray"/>
        </w:rPr>
        <w:t>that are not settled</w:t>
      </w:r>
      <w:r w:rsidR="00D86C1D" w:rsidRPr="00D42618">
        <w:rPr>
          <w:rFonts w:ascii="Arial" w:hAnsi="Arial"/>
          <w:i/>
          <w:highlight w:val="lightGray"/>
        </w:rPr>
        <w:t xml:space="preserve"> </w:t>
      </w:r>
      <w:r w:rsidRPr="00D42618">
        <w:rPr>
          <w:rFonts w:ascii="Arial" w:hAnsi="Arial"/>
          <w:i/>
          <w:highlight w:val="lightGray"/>
        </w:rPr>
        <w:t xml:space="preserve">will be referred to the Singapore International Arbitration Centre (SIAC).  SIAC is seen as a leading venue for the holding of commercial arbitration and is used by companies across </w:t>
      </w:r>
      <w:r w:rsidR="00FD374E">
        <w:rPr>
          <w:rFonts w:ascii="Arial" w:hAnsi="Arial"/>
          <w:i/>
          <w:highlight w:val="lightGray"/>
        </w:rPr>
        <w:t>Southeast</w:t>
      </w:r>
      <w:r w:rsidRPr="00D42618">
        <w:rPr>
          <w:rFonts w:ascii="Arial" w:hAnsi="Arial"/>
          <w:i/>
          <w:highlight w:val="lightGray"/>
        </w:rPr>
        <w:t xml:space="preserve"> Asia.</w:t>
      </w:r>
      <w:r w:rsidRPr="00D42618">
        <w:rPr>
          <w:rFonts w:ascii="Arial" w:hAnsi="Arial"/>
          <w:highlight w:val="lightGray"/>
        </w:rPr>
        <w:t>]</w:t>
      </w:r>
      <w:r w:rsidRPr="00D42618">
        <w:rPr>
          <w:rFonts w:ascii="Arial" w:hAnsi="Arial"/>
        </w:rPr>
        <w:t xml:space="preserve"> </w:t>
      </w:r>
    </w:p>
    <w:p w14:paraId="6B3CF210" w14:textId="17B4FB2D" w:rsidR="00D86C1D" w:rsidRPr="00D86C1D" w:rsidRDefault="00A576F7" w:rsidP="00D86C1D">
      <w:pPr>
        <w:pStyle w:val="OutlinenumberedLevel1"/>
        <w:tabs>
          <w:tab w:val="num" w:pos="567"/>
        </w:tabs>
        <w:rPr>
          <w:caps/>
        </w:rPr>
      </w:pPr>
      <w:bookmarkStart w:id="19" w:name="_Ref504737035"/>
      <w:r w:rsidRPr="00D86C1D">
        <w:rPr>
          <w:caps/>
        </w:rPr>
        <w:t>[</w:t>
      </w:r>
      <w:r w:rsidR="00D86C1D">
        <w:rPr>
          <w:i/>
          <w:caps/>
        </w:rPr>
        <w:t>DISPUTE RESOLUTION</w:t>
      </w:r>
      <w:r w:rsidRPr="00D86C1D">
        <w:rPr>
          <w:caps/>
        </w:rPr>
        <w:t>:</w:t>
      </w:r>
      <w:bookmarkStart w:id="20" w:name="_Toc336366038"/>
      <w:bookmarkStart w:id="21" w:name="_Toc336366152"/>
      <w:bookmarkStart w:id="22" w:name="_Toc336366264"/>
      <w:bookmarkStart w:id="23" w:name="_Toc336366373"/>
      <w:bookmarkStart w:id="24" w:name="_Toc337456298"/>
      <w:bookmarkStart w:id="25" w:name="_Toc340137213"/>
      <w:bookmarkStart w:id="26" w:name="_Toc340137396"/>
      <w:bookmarkStart w:id="27" w:name="_Toc340154389"/>
      <w:bookmarkStart w:id="28" w:name="_Toc340229598"/>
      <w:bookmarkStart w:id="29" w:name="_Toc340234746"/>
      <w:bookmarkStart w:id="30" w:name="_Toc340234903"/>
      <w:bookmarkStart w:id="31" w:name="_Toc340235055"/>
      <w:bookmarkStart w:id="32" w:name="_Toc340235200"/>
      <w:bookmarkStart w:id="33" w:name="_Toc340235341"/>
      <w:bookmarkStart w:id="34" w:name="_Toc340235474"/>
      <w:bookmarkStart w:id="35" w:name="_Toc340235598"/>
      <w:bookmarkStart w:id="36" w:name="_Toc340235723"/>
      <w:bookmarkStart w:id="37" w:name="_Toc340235847"/>
      <w:bookmarkStart w:id="38" w:name="_Toc340235972"/>
      <w:bookmarkStart w:id="39" w:name="_Toc340236097"/>
      <w:bookmarkStart w:id="40" w:name="_Toc340583207"/>
      <w:bookmarkStart w:id="41" w:name="_Toc340587416"/>
      <w:bookmarkStart w:id="42" w:name="_Toc340587548"/>
      <w:bookmarkStart w:id="43" w:name="_Toc340587678"/>
      <w:bookmarkStart w:id="44" w:name="_Toc340587810"/>
      <w:bookmarkStart w:id="45" w:name="_Toc340587941"/>
      <w:bookmarkStart w:id="46" w:name="_Toc340588072"/>
      <w:bookmarkStart w:id="47" w:name="_Toc340588202"/>
      <w:bookmarkStart w:id="48" w:name="_Toc340588332"/>
      <w:bookmarkStart w:id="49" w:name="_Toc340588462"/>
      <w:bookmarkStart w:id="50" w:name="_Toc340588591"/>
      <w:bookmarkStart w:id="51" w:name="_Toc340588720"/>
      <w:bookmarkStart w:id="52" w:name="_Toc340588840"/>
      <w:bookmarkStart w:id="53" w:name="_Toc369830882"/>
      <w:bookmarkStart w:id="54" w:name="_Toc369831044"/>
      <w:bookmarkStart w:id="55" w:name="_Toc369903628"/>
      <w:bookmarkStart w:id="56" w:name="_Toc370217143"/>
      <w:bookmarkStart w:id="57" w:name="_Toc379567534"/>
      <w:bookmarkStart w:id="58" w:name="_Toc381359152"/>
      <w:bookmarkStart w:id="59" w:name="_Ref381359512"/>
      <w:bookmarkEnd w:id="19"/>
      <w:r w:rsidRPr="00D86C1D">
        <w:rPr>
          <w:caps/>
        </w:rPr>
        <w:t xml:space="preserve"> </w:t>
      </w:r>
      <w:r w:rsidR="006A5053" w:rsidRPr="00D86C1D">
        <w:rPr>
          <w:caps/>
        </w:rPr>
        <w:t xml:space="preserve"> </w:t>
      </w:r>
    </w:p>
    <w:p w14:paraId="0A353BD3" w14:textId="37E1BD25" w:rsidR="005317F5" w:rsidRPr="005317F5" w:rsidRDefault="000070D8" w:rsidP="005317F5">
      <w:pPr>
        <w:pStyle w:val="OutlinenumberedLevel2"/>
        <w:rPr>
          <w:i/>
        </w:rPr>
      </w:pPr>
      <w:bookmarkStart w:id="60" w:name="_Ref504737027"/>
      <w:r>
        <w:rPr>
          <w:b/>
          <w:i/>
        </w:rPr>
        <w:t>Dispute</w:t>
      </w:r>
      <w:r w:rsidR="005317F5" w:rsidRPr="005317F5">
        <w:rPr>
          <w:b/>
          <w:i/>
        </w:rPr>
        <w:t xml:space="preserve">:  </w:t>
      </w:r>
      <w:r w:rsidR="005317F5" w:rsidRPr="005317F5">
        <w:rPr>
          <w:i/>
        </w:rPr>
        <w:t>If any dispute, controversy or claim (</w:t>
      </w:r>
      <w:r w:rsidR="005317F5" w:rsidRPr="005317F5">
        <w:rPr>
          <w:b/>
          <w:i/>
        </w:rPr>
        <w:t>Dispute</w:t>
      </w:r>
      <w:r w:rsidR="005317F5" w:rsidRPr="005317F5">
        <w:rPr>
          <w:i/>
        </w:rPr>
        <w:t>) arises out of or relating to this Agreement, or to the interpretation, breach, termination or validity of this Agreement, the parties to the Dispute (</w:t>
      </w:r>
      <w:r w:rsidR="005317F5" w:rsidRPr="005317F5">
        <w:rPr>
          <w:b/>
          <w:i/>
        </w:rPr>
        <w:t>Disputing Parties</w:t>
      </w:r>
      <w:r w:rsidR="005317F5" w:rsidRPr="005317F5">
        <w:rPr>
          <w:i/>
        </w:rPr>
        <w:t>) must use their best efforts to resolve the Dispute through consultation or mediation.  The consultation or mediation between the Disputing Parties must begin as soon as practicable after one Disputing Party has delivered to the other Disputing Party or Parties a written notice setting out the matter of the Dispute (</w:t>
      </w:r>
      <w:r w:rsidR="005317F5" w:rsidRPr="005317F5">
        <w:rPr>
          <w:b/>
          <w:i/>
        </w:rPr>
        <w:t>Dispute Notice</w:t>
      </w:r>
      <w:r w:rsidR="005317F5" w:rsidRPr="005317F5">
        <w:rPr>
          <w:i/>
        </w:rPr>
        <w:t>).</w:t>
      </w:r>
      <w:bookmarkEnd w:id="60"/>
    </w:p>
    <w:p w14:paraId="3744B225" w14:textId="15B300C7" w:rsidR="005317F5" w:rsidRPr="005317F5" w:rsidRDefault="005317F5" w:rsidP="005317F5">
      <w:pPr>
        <w:pStyle w:val="OutlinenumberedLevel2"/>
        <w:rPr>
          <w:i/>
        </w:rPr>
      </w:pPr>
      <w:bookmarkStart w:id="61" w:name="_Ref504733875"/>
      <w:r w:rsidRPr="005317F5">
        <w:rPr>
          <w:b/>
          <w:i/>
        </w:rPr>
        <w:t xml:space="preserve">Arbitration:  </w:t>
      </w:r>
      <w:r w:rsidRPr="005317F5">
        <w:rPr>
          <w:i/>
        </w:rPr>
        <w:t xml:space="preserve">If a Dispute is not settled under clause </w:t>
      </w:r>
      <w:r>
        <w:rPr>
          <w:i/>
        </w:rPr>
        <w:fldChar w:fldCharType="begin"/>
      </w:r>
      <w:r>
        <w:rPr>
          <w:i/>
        </w:rPr>
        <w:instrText xml:space="preserve"> REF _Ref504737027 \r \h </w:instrText>
      </w:r>
      <w:r>
        <w:rPr>
          <w:i/>
        </w:rPr>
      </w:r>
      <w:r>
        <w:rPr>
          <w:i/>
        </w:rPr>
        <w:fldChar w:fldCharType="separate"/>
      </w:r>
      <w:r w:rsidR="007E5370">
        <w:rPr>
          <w:i/>
        </w:rPr>
        <w:t>13.1</w:t>
      </w:r>
      <w:r>
        <w:rPr>
          <w:i/>
        </w:rPr>
        <w:fldChar w:fldCharType="end"/>
      </w:r>
      <w:r w:rsidRPr="005317F5">
        <w:rPr>
          <w:i/>
        </w:rPr>
        <w:t xml:space="preserve"> within 30 days after the date of the relevant Dispute Notice, the Dispute must be referred to and resolved by arbitration in Singapore in accordance with the Rules of the Singapore International Arbitration Centre (</w:t>
      </w:r>
      <w:r w:rsidRPr="005317F5">
        <w:rPr>
          <w:b/>
          <w:i/>
        </w:rPr>
        <w:t>SIAC Rules</w:t>
      </w:r>
      <w:r w:rsidRPr="005317F5">
        <w:rPr>
          <w:i/>
        </w:rPr>
        <w:t xml:space="preserve"> and </w:t>
      </w:r>
      <w:r w:rsidRPr="005317F5">
        <w:rPr>
          <w:b/>
          <w:i/>
        </w:rPr>
        <w:t>SIAC</w:t>
      </w:r>
      <w:r w:rsidRPr="005317F5">
        <w:rPr>
          <w:i/>
        </w:rPr>
        <w:t xml:space="preserve"> respectively).  The tribunal will consist of one arbitrator, to be appointed by the President of the SIAC.  The language of the arbitration will be English.</w:t>
      </w:r>
    </w:p>
    <w:p w14:paraId="6346EF15" w14:textId="0E58716D" w:rsidR="001A4EF0" w:rsidRPr="00117614" w:rsidRDefault="005317F5" w:rsidP="006A200A">
      <w:pPr>
        <w:pStyle w:val="OutlinenumberedLevel2"/>
        <w:tabs>
          <w:tab w:val="left" w:pos="1080"/>
        </w:tabs>
        <w:spacing w:before="0"/>
        <w:sectPr w:rsidR="001A4EF0" w:rsidRPr="00117614" w:rsidSect="00A06A24">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r w:rsidRPr="005317F5">
        <w:rPr>
          <w:b/>
          <w:i/>
        </w:rPr>
        <w:t xml:space="preserve">SIAC Rules:  </w:t>
      </w:r>
      <w:r w:rsidRPr="005317F5">
        <w:rPr>
          <w:i/>
        </w:rPr>
        <w:t>The SIAC Rules are deemed to be incorporated by reference in this clause</w:t>
      </w:r>
      <w:r>
        <w:rPr>
          <w:i/>
        </w:rPr>
        <w:t xml:space="preserve"> </w:t>
      </w:r>
      <w:r>
        <w:rPr>
          <w:i/>
        </w:rPr>
        <w:fldChar w:fldCharType="begin"/>
      </w:r>
      <w:r>
        <w:rPr>
          <w:i/>
        </w:rPr>
        <w:instrText xml:space="preserve"> REF _Ref504737035 \r \h </w:instrText>
      </w:r>
      <w:r>
        <w:rPr>
          <w:i/>
        </w:rPr>
      </w:r>
      <w:r>
        <w:rPr>
          <w:i/>
        </w:rPr>
        <w:fldChar w:fldCharType="separate"/>
      </w:r>
      <w:r w:rsidR="007E5370">
        <w:rPr>
          <w:i/>
        </w:rPr>
        <w:t>13</w:t>
      </w:r>
      <w:r>
        <w:rPr>
          <w:i/>
        </w:rPr>
        <w:fldChar w:fldCharType="end"/>
      </w:r>
      <w:r w:rsidRPr="005317F5">
        <w:rPr>
          <w:i/>
        </w:rPr>
        <w:t>.  However, to the extent that the SIAC Rules are in conflict with the provisions of this clause</w:t>
      </w:r>
      <w:r>
        <w:rPr>
          <w:i/>
        </w:rPr>
        <w:t xml:space="preserve"> </w:t>
      </w:r>
      <w:r>
        <w:rPr>
          <w:i/>
        </w:rPr>
        <w:fldChar w:fldCharType="begin"/>
      </w:r>
      <w:r>
        <w:rPr>
          <w:i/>
        </w:rPr>
        <w:instrText xml:space="preserve"> REF _Ref504737035 \r \h </w:instrText>
      </w:r>
      <w:r>
        <w:rPr>
          <w:i/>
        </w:rPr>
      </w:r>
      <w:r>
        <w:rPr>
          <w:i/>
        </w:rPr>
        <w:fldChar w:fldCharType="separate"/>
      </w:r>
      <w:r w:rsidR="007E5370">
        <w:rPr>
          <w:i/>
        </w:rPr>
        <w:t>13</w:t>
      </w:r>
      <w:r>
        <w:rPr>
          <w:i/>
        </w:rPr>
        <w:fldChar w:fldCharType="end"/>
      </w:r>
      <w:r w:rsidRPr="005317F5">
        <w:rPr>
          <w:i/>
        </w:rPr>
        <w:t>, the provisions of this clause</w:t>
      </w:r>
      <w:r>
        <w:rPr>
          <w:i/>
        </w:rPr>
        <w:t xml:space="preserve"> </w:t>
      </w:r>
      <w:r>
        <w:rPr>
          <w:i/>
        </w:rPr>
        <w:fldChar w:fldCharType="begin"/>
      </w:r>
      <w:r>
        <w:rPr>
          <w:i/>
        </w:rPr>
        <w:instrText xml:space="preserve"> REF _Ref504737035 \r \h </w:instrText>
      </w:r>
      <w:r>
        <w:rPr>
          <w:i/>
        </w:rPr>
      </w:r>
      <w:r>
        <w:rPr>
          <w:i/>
        </w:rPr>
        <w:fldChar w:fldCharType="separate"/>
      </w:r>
      <w:r w:rsidR="007E5370">
        <w:rPr>
          <w:i/>
        </w:rPr>
        <w:t>13</w:t>
      </w:r>
      <w:r>
        <w:rPr>
          <w:i/>
        </w:rPr>
        <w:fldChar w:fldCharType="end"/>
      </w:r>
      <w:r w:rsidRPr="005317F5">
        <w:rPr>
          <w:i/>
        </w:rPr>
        <w:t xml:space="preserve"> </w:t>
      </w:r>
      <w:r w:rsidR="000070D8">
        <w:rPr>
          <w:i/>
        </w:rPr>
        <w:t>will</w:t>
      </w:r>
      <w:r w:rsidRPr="005317F5">
        <w:rPr>
          <w:i/>
        </w:rPr>
        <w:t xml:space="preserve"> prevail.</w:t>
      </w:r>
      <w:bookmarkEnd w:id="61"/>
      <w:r>
        <w: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3509E8E" w14:textId="77777777" w:rsidR="00A06A24" w:rsidRDefault="00A06A24">
      <w:pPr>
        <w:tabs>
          <w:tab w:val="clear" w:pos="567"/>
        </w:tabs>
        <w:spacing w:after="0" w:line="240" w:lineRule="auto"/>
        <w:rPr>
          <w:rFonts w:ascii="Arial Black" w:hAnsi="Arial Black"/>
          <w:color w:val="C00000"/>
        </w:rPr>
      </w:pPr>
      <w:r>
        <w:rPr>
          <w:rFonts w:ascii="Arial Black" w:hAnsi="Arial Black"/>
          <w:color w:val="C00000"/>
        </w:rPr>
        <w:br w:type="page"/>
      </w:r>
    </w:p>
    <w:p w14:paraId="334EF589" w14:textId="68F17CE0" w:rsidR="00057D23" w:rsidRPr="00113F8E" w:rsidRDefault="00057D23" w:rsidP="006A200A">
      <w:pPr>
        <w:jc w:val="center"/>
        <w:rPr>
          <w:rFonts w:ascii="Arial Black" w:hAnsi="Arial Black"/>
          <w:color w:val="C00000"/>
        </w:rPr>
      </w:pPr>
      <w:r>
        <w:rPr>
          <w:rFonts w:ascii="Arial Black" w:hAnsi="Arial Black"/>
          <w:color w:val="C00000"/>
        </w:rPr>
        <w:lastRenderedPageBreak/>
        <w:t>SCHEDULE 1</w:t>
      </w:r>
    </w:p>
    <w:p w14:paraId="772E5ABD" w14:textId="77777777" w:rsidR="00E948ED" w:rsidRPr="007F672B" w:rsidRDefault="00E948ED" w:rsidP="006A200A">
      <w:pPr>
        <w:jc w:val="center"/>
        <w:rPr>
          <w:b/>
        </w:rPr>
      </w:pPr>
      <w:r>
        <w:rPr>
          <w:b/>
        </w:rPr>
        <w:t>Part 1 – The Investors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4253"/>
      </w:tblGrid>
      <w:tr w:rsidR="00E948ED" w:rsidRPr="00A7363F" w14:paraId="0EADA835" w14:textId="77777777" w:rsidTr="00D76364">
        <w:tc>
          <w:tcPr>
            <w:tcW w:w="2093" w:type="dxa"/>
            <w:tcBorders>
              <w:bottom w:val="single" w:sz="4" w:space="0" w:color="auto"/>
            </w:tcBorders>
            <w:shd w:val="clear" w:color="auto" w:fill="BFBFBF"/>
          </w:tcPr>
          <w:p w14:paraId="485BF9EC" w14:textId="77777777" w:rsidR="00E948ED" w:rsidRPr="00A7363F" w:rsidRDefault="00E948ED" w:rsidP="006A200A">
            <w:pPr>
              <w:rPr>
                <w:rFonts w:ascii="Arial Black" w:hAnsi="Arial Black"/>
                <w:color w:val="C00000"/>
              </w:rPr>
            </w:pPr>
            <w:r w:rsidRPr="00A7363F">
              <w:rPr>
                <w:rFonts w:ascii="Arial Black" w:hAnsi="Arial Black"/>
                <w:color w:val="C00000"/>
              </w:rPr>
              <w:t>Name</w:t>
            </w:r>
          </w:p>
        </w:tc>
        <w:tc>
          <w:tcPr>
            <w:tcW w:w="1984" w:type="dxa"/>
            <w:tcBorders>
              <w:bottom w:val="single" w:sz="4" w:space="0" w:color="auto"/>
            </w:tcBorders>
            <w:shd w:val="clear" w:color="auto" w:fill="BFBFBF"/>
          </w:tcPr>
          <w:p w14:paraId="0B8FB6EB" w14:textId="77777777" w:rsidR="00E948ED" w:rsidRPr="00A7363F" w:rsidRDefault="00E948ED" w:rsidP="006A200A">
            <w:pPr>
              <w:rPr>
                <w:rFonts w:ascii="Arial Black" w:hAnsi="Arial Black"/>
                <w:color w:val="C00000"/>
              </w:rPr>
            </w:pPr>
            <w:r>
              <w:rPr>
                <w:rFonts w:ascii="Arial Black" w:hAnsi="Arial Black"/>
                <w:color w:val="C00000"/>
              </w:rPr>
              <w:t>Registered no. / Identification</w:t>
            </w:r>
          </w:p>
        </w:tc>
        <w:tc>
          <w:tcPr>
            <w:tcW w:w="4253" w:type="dxa"/>
            <w:tcBorders>
              <w:bottom w:val="single" w:sz="4" w:space="0" w:color="auto"/>
            </w:tcBorders>
            <w:shd w:val="clear" w:color="auto" w:fill="BFBFBF"/>
          </w:tcPr>
          <w:p w14:paraId="2369033B" w14:textId="77777777" w:rsidR="00E948ED" w:rsidRPr="00A7363F" w:rsidRDefault="00E948ED" w:rsidP="006A200A">
            <w:pPr>
              <w:rPr>
                <w:rFonts w:ascii="Arial Black" w:hAnsi="Arial Black"/>
                <w:color w:val="C00000"/>
              </w:rPr>
            </w:pPr>
            <w:r>
              <w:rPr>
                <w:rFonts w:ascii="Arial Black" w:hAnsi="Arial Black"/>
                <w:color w:val="C00000"/>
              </w:rPr>
              <w:t>Address</w:t>
            </w:r>
          </w:p>
        </w:tc>
      </w:tr>
      <w:tr w:rsidR="00E948ED" w:rsidRPr="008A2F05" w14:paraId="2EA0E7EB" w14:textId="77777777" w:rsidTr="00D76364">
        <w:tc>
          <w:tcPr>
            <w:tcW w:w="2093" w:type="dxa"/>
          </w:tcPr>
          <w:p w14:paraId="371AAE74" w14:textId="77777777" w:rsidR="00E948ED" w:rsidRPr="00354E0D" w:rsidRDefault="00354E0D" w:rsidP="006A200A">
            <w:r>
              <w:t>[</w:t>
            </w:r>
            <w:r>
              <w:rPr>
                <w:i/>
              </w:rPr>
              <w:t>insert</w:t>
            </w:r>
            <w:r>
              <w:t>]</w:t>
            </w:r>
          </w:p>
        </w:tc>
        <w:tc>
          <w:tcPr>
            <w:tcW w:w="1984" w:type="dxa"/>
          </w:tcPr>
          <w:p w14:paraId="15A370A2" w14:textId="77777777" w:rsidR="00E948ED" w:rsidRPr="008A2F05" w:rsidRDefault="00354E0D" w:rsidP="006A200A">
            <w:r>
              <w:t>[</w:t>
            </w:r>
            <w:r>
              <w:rPr>
                <w:i/>
              </w:rPr>
              <w:t>insert</w:t>
            </w:r>
            <w:r>
              <w:t>]</w:t>
            </w:r>
          </w:p>
        </w:tc>
        <w:tc>
          <w:tcPr>
            <w:tcW w:w="4253" w:type="dxa"/>
          </w:tcPr>
          <w:p w14:paraId="3A24BE2F" w14:textId="77777777" w:rsidR="00E948ED" w:rsidRPr="008A2F05" w:rsidRDefault="00354E0D" w:rsidP="006A200A">
            <w:r>
              <w:t>[</w:t>
            </w:r>
            <w:r>
              <w:rPr>
                <w:i/>
              </w:rPr>
              <w:t>insert</w:t>
            </w:r>
            <w:r>
              <w:t>]</w:t>
            </w:r>
          </w:p>
        </w:tc>
      </w:tr>
      <w:tr w:rsidR="004A2573" w:rsidRPr="008A2F05" w14:paraId="0240686B" w14:textId="77777777" w:rsidTr="00D76364">
        <w:tc>
          <w:tcPr>
            <w:tcW w:w="2093" w:type="dxa"/>
          </w:tcPr>
          <w:p w14:paraId="525CAAAF" w14:textId="77777777" w:rsidR="004A2573" w:rsidRDefault="004A2573" w:rsidP="006A200A"/>
        </w:tc>
        <w:tc>
          <w:tcPr>
            <w:tcW w:w="1984" w:type="dxa"/>
          </w:tcPr>
          <w:p w14:paraId="480CD484" w14:textId="77777777" w:rsidR="004A2573" w:rsidRDefault="004A2573" w:rsidP="006A200A"/>
        </w:tc>
        <w:tc>
          <w:tcPr>
            <w:tcW w:w="4253" w:type="dxa"/>
          </w:tcPr>
          <w:p w14:paraId="2F4196BC" w14:textId="77777777" w:rsidR="004A2573" w:rsidRDefault="004A2573" w:rsidP="006A200A"/>
        </w:tc>
      </w:tr>
      <w:tr w:rsidR="004A2573" w:rsidRPr="008A2F05" w14:paraId="6987B8BF" w14:textId="77777777" w:rsidTr="00D76364">
        <w:tc>
          <w:tcPr>
            <w:tcW w:w="2093" w:type="dxa"/>
          </w:tcPr>
          <w:p w14:paraId="60FA4808" w14:textId="77777777" w:rsidR="004A2573" w:rsidRDefault="004A2573" w:rsidP="006A200A"/>
        </w:tc>
        <w:tc>
          <w:tcPr>
            <w:tcW w:w="1984" w:type="dxa"/>
          </w:tcPr>
          <w:p w14:paraId="7CAA4B85" w14:textId="77777777" w:rsidR="004A2573" w:rsidRDefault="004A2573" w:rsidP="006A200A"/>
        </w:tc>
        <w:tc>
          <w:tcPr>
            <w:tcW w:w="4253" w:type="dxa"/>
          </w:tcPr>
          <w:p w14:paraId="2C202DBF" w14:textId="77777777" w:rsidR="004A2573" w:rsidRDefault="004A2573" w:rsidP="006A200A"/>
        </w:tc>
      </w:tr>
    </w:tbl>
    <w:p w14:paraId="4076C612" w14:textId="77777777" w:rsidR="00E948ED" w:rsidRDefault="00E948ED" w:rsidP="006A200A">
      <w:pPr>
        <w:jc w:val="center"/>
        <w:rPr>
          <w:b/>
        </w:rPr>
      </w:pPr>
    </w:p>
    <w:p w14:paraId="2799877F" w14:textId="77777777" w:rsidR="00E948ED" w:rsidRPr="009620A6" w:rsidRDefault="00E948ED" w:rsidP="006A200A">
      <w:pPr>
        <w:jc w:val="center"/>
        <w:rPr>
          <w:b/>
        </w:rPr>
      </w:pPr>
      <w:r w:rsidRPr="009620A6">
        <w:rPr>
          <w:b/>
        </w:rPr>
        <w:t>Part 2 – The Founders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4253"/>
      </w:tblGrid>
      <w:tr w:rsidR="00E948ED" w:rsidRPr="00A7363F" w14:paraId="45F5A6B6" w14:textId="77777777" w:rsidTr="00D76364">
        <w:tc>
          <w:tcPr>
            <w:tcW w:w="2093" w:type="dxa"/>
            <w:tcBorders>
              <w:bottom w:val="single" w:sz="4" w:space="0" w:color="auto"/>
            </w:tcBorders>
            <w:shd w:val="clear" w:color="auto" w:fill="BFBFBF"/>
          </w:tcPr>
          <w:p w14:paraId="47EFCD48" w14:textId="77777777" w:rsidR="00E948ED" w:rsidRPr="00A7363F" w:rsidRDefault="00E948ED" w:rsidP="006A200A">
            <w:pPr>
              <w:rPr>
                <w:rFonts w:ascii="Arial Black" w:hAnsi="Arial Black"/>
                <w:color w:val="C00000"/>
              </w:rPr>
            </w:pPr>
            <w:r w:rsidRPr="00A7363F">
              <w:rPr>
                <w:rFonts w:ascii="Arial Black" w:hAnsi="Arial Black"/>
                <w:color w:val="C00000"/>
              </w:rPr>
              <w:t>Name</w:t>
            </w:r>
          </w:p>
        </w:tc>
        <w:tc>
          <w:tcPr>
            <w:tcW w:w="1984" w:type="dxa"/>
            <w:tcBorders>
              <w:bottom w:val="single" w:sz="4" w:space="0" w:color="auto"/>
            </w:tcBorders>
            <w:shd w:val="clear" w:color="auto" w:fill="BFBFBF"/>
          </w:tcPr>
          <w:p w14:paraId="55A31B32" w14:textId="77777777" w:rsidR="00E948ED" w:rsidRPr="00A7363F" w:rsidRDefault="00E948ED" w:rsidP="006A200A">
            <w:pPr>
              <w:rPr>
                <w:rFonts w:ascii="Arial Black" w:hAnsi="Arial Black"/>
                <w:color w:val="C00000"/>
              </w:rPr>
            </w:pPr>
            <w:r>
              <w:rPr>
                <w:rFonts w:ascii="Arial Black" w:hAnsi="Arial Black"/>
                <w:color w:val="C00000"/>
              </w:rPr>
              <w:t>Identification</w:t>
            </w:r>
          </w:p>
        </w:tc>
        <w:tc>
          <w:tcPr>
            <w:tcW w:w="4253" w:type="dxa"/>
            <w:tcBorders>
              <w:bottom w:val="single" w:sz="4" w:space="0" w:color="auto"/>
            </w:tcBorders>
            <w:shd w:val="clear" w:color="auto" w:fill="BFBFBF"/>
          </w:tcPr>
          <w:p w14:paraId="6D573769" w14:textId="77777777" w:rsidR="00E948ED" w:rsidRPr="00A7363F" w:rsidRDefault="00E948ED" w:rsidP="006A200A">
            <w:pPr>
              <w:rPr>
                <w:rFonts w:ascii="Arial Black" w:hAnsi="Arial Black"/>
                <w:color w:val="C00000"/>
              </w:rPr>
            </w:pPr>
            <w:r>
              <w:rPr>
                <w:rFonts w:ascii="Arial Black" w:hAnsi="Arial Black"/>
                <w:color w:val="C00000"/>
              </w:rPr>
              <w:t>Address</w:t>
            </w:r>
          </w:p>
        </w:tc>
      </w:tr>
      <w:tr w:rsidR="00354E0D" w:rsidRPr="008A2F05" w14:paraId="4E2559A5" w14:textId="77777777" w:rsidTr="00D76364">
        <w:tc>
          <w:tcPr>
            <w:tcW w:w="2093" w:type="dxa"/>
          </w:tcPr>
          <w:p w14:paraId="7C097FC9" w14:textId="77777777" w:rsidR="00354E0D" w:rsidRPr="008A2F05" w:rsidRDefault="00354E0D" w:rsidP="00354E0D">
            <w:r w:rsidRPr="00EB146A">
              <w:t>[</w:t>
            </w:r>
            <w:r w:rsidRPr="00EB146A">
              <w:rPr>
                <w:i/>
              </w:rPr>
              <w:t>insert</w:t>
            </w:r>
            <w:r w:rsidRPr="00EB146A">
              <w:t>]</w:t>
            </w:r>
          </w:p>
        </w:tc>
        <w:tc>
          <w:tcPr>
            <w:tcW w:w="1984" w:type="dxa"/>
          </w:tcPr>
          <w:p w14:paraId="137842E6" w14:textId="77777777" w:rsidR="00354E0D" w:rsidRPr="008A2F05" w:rsidRDefault="00354E0D" w:rsidP="00354E0D">
            <w:r w:rsidRPr="00EB146A">
              <w:t>[</w:t>
            </w:r>
            <w:r w:rsidRPr="00EB146A">
              <w:rPr>
                <w:i/>
              </w:rPr>
              <w:t>insert</w:t>
            </w:r>
            <w:r w:rsidRPr="00EB146A">
              <w:t>]</w:t>
            </w:r>
          </w:p>
        </w:tc>
        <w:tc>
          <w:tcPr>
            <w:tcW w:w="4253" w:type="dxa"/>
          </w:tcPr>
          <w:p w14:paraId="07AB3538" w14:textId="77777777" w:rsidR="00354E0D" w:rsidRPr="008A2F05" w:rsidRDefault="00354E0D" w:rsidP="00354E0D">
            <w:r w:rsidRPr="00EB146A">
              <w:t>[</w:t>
            </w:r>
            <w:r w:rsidRPr="00EB146A">
              <w:rPr>
                <w:i/>
              </w:rPr>
              <w:t>insert</w:t>
            </w:r>
            <w:r w:rsidRPr="00EB146A">
              <w:t>]</w:t>
            </w:r>
          </w:p>
        </w:tc>
      </w:tr>
      <w:tr w:rsidR="004A2573" w:rsidRPr="008A2F05" w14:paraId="000DE64E" w14:textId="77777777" w:rsidTr="00D76364">
        <w:tc>
          <w:tcPr>
            <w:tcW w:w="2093" w:type="dxa"/>
          </w:tcPr>
          <w:p w14:paraId="28E3ACB3" w14:textId="77777777" w:rsidR="004A2573" w:rsidRPr="00EB146A" w:rsidRDefault="004A2573" w:rsidP="00354E0D"/>
        </w:tc>
        <w:tc>
          <w:tcPr>
            <w:tcW w:w="1984" w:type="dxa"/>
          </w:tcPr>
          <w:p w14:paraId="41651FE0" w14:textId="77777777" w:rsidR="004A2573" w:rsidRPr="00EB146A" w:rsidRDefault="004A2573" w:rsidP="00354E0D"/>
        </w:tc>
        <w:tc>
          <w:tcPr>
            <w:tcW w:w="4253" w:type="dxa"/>
          </w:tcPr>
          <w:p w14:paraId="5F84ADD6" w14:textId="77777777" w:rsidR="004A2573" w:rsidRPr="00EB146A" w:rsidRDefault="004A2573" w:rsidP="00354E0D"/>
        </w:tc>
      </w:tr>
      <w:tr w:rsidR="004A2573" w:rsidRPr="008A2F05" w14:paraId="1B4F37AD" w14:textId="77777777" w:rsidTr="00D76364">
        <w:tc>
          <w:tcPr>
            <w:tcW w:w="2093" w:type="dxa"/>
          </w:tcPr>
          <w:p w14:paraId="1DDA042B" w14:textId="77777777" w:rsidR="004A2573" w:rsidRPr="00EB146A" w:rsidRDefault="004A2573" w:rsidP="00354E0D"/>
        </w:tc>
        <w:tc>
          <w:tcPr>
            <w:tcW w:w="1984" w:type="dxa"/>
          </w:tcPr>
          <w:p w14:paraId="4FDE96EC" w14:textId="77777777" w:rsidR="004A2573" w:rsidRPr="00EB146A" w:rsidRDefault="004A2573" w:rsidP="00354E0D"/>
        </w:tc>
        <w:tc>
          <w:tcPr>
            <w:tcW w:w="4253" w:type="dxa"/>
          </w:tcPr>
          <w:p w14:paraId="2950C982" w14:textId="77777777" w:rsidR="004A2573" w:rsidRPr="00EB146A" w:rsidRDefault="004A2573" w:rsidP="00354E0D"/>
        </w:tc>
      </w:tr>
    </w:tbl>
    <w:p w14:paraId="2FA4C669" w14:textId="77777777" w:rsidR="00E948ED" w:rsidRDefault="00E948ED" w:rsidP="006A200A">
      <w:pPr>
        <w:tabs>
          <w:tab w:val="clear" w:pos="567"/>
        </w:tabs>
        <w:rPr>
          <w:rFonts w:ascii="Arial Black" w:hAnsi="Arial Black"/>
          <w:color w:val="C00000"/>
        </w:rPr>
      </w:pPr>
    </w:p>
    <w:p w14:paraId="5F5C737F" w14:textId="77777777" w:rsidR="00E948ED" w:rsidRDefault="00E948ED" w:rsidP="006A200A">
      <w:pPr>
        <w:jc w:val="center"/>
        <w:rPr>
          <w:b/>
        </w:rPr>
      </w:pPr>
      <w:r>
        <w:rPr>
          <w:b/>
        </w:rPr>
        <w:t>[</w:t>
      </w:r>
      <w:r w:rsidRPr="00D145D3">
        <w:rPr>
          <w:b/>
          <w:i/>
        </w:rPr>
        <w:t>Part 3 – Existing Shareholders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4253"/>
      </w:tblGrid>
      <w:tr w:rsidR="00E948ED" w:rsidRPr="00A7363F" w14:paraId="1F403E20" w14:textId="77777777" w:rsidTr="00D76364">
        <w:tc>
          <w:tcPr>
            <w:tcW w:w="2093" w:type="dxa"/>
            <w:tcBorders>
              <w:bottom w:val="single" w:sz="4" w:space="0" w:color="auto"/>
            </w:tcBorders>
            <w:shd w:val="clear" w:color="auto" w:fill="BFBFBF"/>
          </w:tcPr>
          <w:p w14:paraId="78C7C8AB" w14:textId="77777777" w:rsidR="00E948ED" w:rsidRPr="00A7363F" w:rsidRDefault="00E948ED" w:rsidP="006A200A">
            <w:pPr>
              <w:rPr>
                <w:rFonts w:ascii="Arial Black" w:hAnsi="Arial Black"/>
                <w:color w:val="C00000"/>
              </w:rPr>
            </w:pPr>
            <w:r w:rsidRPr="00A7363F">
              <w:rPr>
                <w:rFonts w:ascii="Arial Black" w:hAnsi="Arial Black"/>
                <w:color w:val="C00000"/>
              </w:rPr>
              <w:t>Name</w:t>
            </w:r>
          </w:p>
        </w:tc>
        <w:tc>
          <w:tcPr>
            <w:tcW w:w="1984" w:type="dxa"/>
            <w:tcBorders>
              <w:bottom w:val="single" w:sz="4" w:space="0" w:color="auto"/>
            </w:tcBorders>
            <w:shd w:val="clear" w:color="auto" w:fill="BFBFBF"/>
          </w:tcPr>
          <w:p w14:paraId="236A39CA" w14:textId="77777777" w:rsidR="00E948ED" w:rsidRPr="00A7363F" w:rsidRDefault="00AB3C69" w:rsidP="006A200A">
            <w:pPr>
              <w:rPr>
                <w:rFonts w:ascii="Arial Black" w:hAnsi="Arial Black"/>
                <w:color w:val="C00000"/>
              </w:rPr>
            </w:pPr>
            <w:r>
              <w:rPr>
                <w:rFonts w:ascii="Arial Black" w:hAnsi="Arial Black"/>
                <w:color w:val="C00000"/>
              </w:rPr>
              <w:t>Registered no. / Identification</w:t>
            </w:r>
          </w:p>
        </w:tc>
        <w:tc>
          <w:tcPr>
            <w:tcW w:w="4253" w:type="dxa"/>
            <w:tcBorders>
              <w:bottom w:val="single" w:sz="4" w:space="0" w:color="auto"/>
            </w:tcBorders>
            <w:shd w:val="clear" w:color="auto" w:fill="BFBFBF"/>
          </w:tcPr>
          <w:p w14:paraId="3D37C2FD" w14:textId="77777777" w:rsidR="00E948ED" w:rsidRPr="00A7363F" w:rsidRDefault="00E948ED" w:rsidP="006A200A">
            <w:pPr>
              <w:rPr>
                <w:rFonts w:ascii="Arial Black" w:hAnsi="Arial Black"/>
                <w:color w:val="C00000"/>
              </w:rPr>
            </w:pPr>
            <w:r>
              <w:rPr>
                <w:rFonts w:ascii="Arial Black" w:hAnsi="Arial Black"/>
                <w:color w:val="C00000"/>
              </w:rPr>
              <w:t>Address</w:t>
            </w:r>
          </w:p>
        </w:tc>
      </w:tr>
      <w:tr w:rsidR="00354E0D" w:rsidRPr="008A2F05" w14:paraId="35C8ED09" w14:textId="77777777" w:rsidTr="00D76364">
        <w:tc>
          <w:tcPr>
            <w:tcW w:w="2093" w:type="dxa"/>
          </w:tcPr>
          <w:p w14:paraId="7E9C1FC6" w14:textId="77777777" w:rsidR="00354E0D" w:rsidRPr="008A2F05" w:rsidRDefault="00354E0D" w:rsidP="00354E0D">
            <w:r w:rsidRPr="00F057DA">
              <w:t>[</w:t>
            </w:r>
            <w:r w:rsidRPr="00F057DA">
              <w:rPr>
                <w:i/>
              </w:rPr>
              <w:t>insert</w:t>
            </w:r>
            <w:r w:rsidRPr="00F057DA">
              <w:t>]</w:t>
            </w:r>
          </w:p>
        </w:tc>
        <w:tc>
          <w:tcPr>
            <w:tcW w:w="1984" w:type="dxa"/>
          </w:tcPr>
          <w:p w14:paraId="467BDA14" w14:textId="77777777" w:rsidR="00354E0D" w:rsidRPr="008A2F05" w:rsidRDefault="00354E0D" w:rsidP="00354E0D">
            <w:r w:rsidRPr="00F057DA">
              <w:t>[</w:t>
            </w:r>
            <w:r w:rsidRPr="00F057DA">
              <w:rPr>
                <w:i/>
              </w:rPr>
              <w:t>insert</w:t>
            </w:r>
            <w:r w:rsidRPr="00F057DA">
              <w:t>]</w:t>
            </w:r>
          </w:p>
        </w:tc>
        <w:tc>
          <w:tcPr>
            <w:tcW w:w="4253" w:type="dxa"/>
          </w:tcPr>
          <w:p w14:paraId="186A0184" w14:textId="77777777" w:rsidR="00354E0D" w:rsidRPr="008A2F05" w:rsidRDefault="00354E0D" w:rsidP="00354E0D">
            <w:r w:rsidRPr="00F057DA">
              <w:t>[</w:t>
            </w:r>
            <w:r w:rsidRPr="00F057DA">
              <w:rPr>
                <w:i/>
              </w:rPr>
              <w:t>insert</w:t>
            </w:r>
            <w:r w:rsidRPr="00F057DA">
              <w:t>]</w:t>
            </w:r>
          </w:p>
        </w:tc>
      </w:tr>
      <w:tr w:rsidR="004A2573" w:rsidRPr="008A2F05" w14:paraId="62374506" w14:textId="77777777" w:rsidTr="00D76364">
        <w:tc>
          <w:tcPr>
            <w:tcW w:w="2093" w:type="dxa"/>
          </w:tcPr>
          <w:p w14:paraId="13DD151E" w14:textId="77777777" w:rsidR="004A2573" w:rsidRPr="00F057DA" w:rsidRDefault="004A2573" w:rsidP="00354E0D"/>
        </w:tc>
        <w:tc>
          <w:tcPr>
            <w:tcW w:w="1984" w:type="dxa"/>
          </w:tcPr>
          <w:p w14:paraId="237FC9EF" w14:textId="77777777" w:rsidR="004A2573" w:rsidRPr="00F057DA" w:rsidRDefault="004A2573" w:rsidP="00354E0D"/>
        </w:tc>
        <w:tc>
          <w:tcPr>
            <w:tcW w:w="4253" w:type="dxa"/>
          </w:tcPr>
          <w:p w14:paraId="7872ABD7" w14:textId="77777777" w:rsidR="004A2573" w:rsidRPr="00F057DA" w:rsidRDefault="004A2573" w:rsidP="00354E0D"/>
        </w:tc>
      </w:tr>
      <w:tr w:rsidR="004A2573" w:rsidRPr="008A2F05" w14:paraId="2DE2E60F" w14:textId="77777777" w:rsidTr="00D76364">
        <w:tc>
          <w:tcPr>
            <w:tcW w:w="2093" w:type="dxa"/>
          </w:tcPr>
          <w:p w14:paraId="78DE9E0A" w14:textId="77777777" w:rsidR="004A2573" w:rsidRPr="00F057DA" w:rsidRDefault="004A2573" w:rsidP="00354E0D"/>
        </w:tc>
        <w:tc>
          <w:tcPr>
            <w:tcW w:w="1984" w:type="dxa"/>
          </w:tcPr>
          <w:p w14:paraId="0F61E012" w14:textId="77777777" w:rsidR="004A2573" w:rsidRPr="00F057DA" w:rsidRDefault="004A2573" w:rsidP="00354E0D"/>
        </w:tc>
        <w:tc>
          <w:tcPr>
            <w:tcW w:w="4253" w:type="dxa"/>
          </w:tcPr>
          <w:p w14:paraId="38DDBE86" w14:textId="77777777" w:rsidR="004A2573" w:rsidRPr="00F057DA" w:rsidRDefault="004A2573" w:rsidP="00354E0D"/>
        </w:tc>
      </w:tr>
    </w:tbl>
    <w:p w14:paraId="0AB4A5ED" w14:textId="77777777" w:rsidR="00E948ED" w:rsidRDefault="00E948ED" w:rsidP="006A200A">
      <w:pPr>
        <w:tabs>
          <w:tab w:val="clear" w:pos="567"/>
        </w:tabs>
        <w:rPr>
          <w:rFonts w:ascii="Arial Black" w:hAnsi="Arial Black"/>
          <w:color w:val="C00000"/>
        </w:rPr>
      </w:pPr>
    </w:p>
    <w:p w14:paraId="4F4E2713" w14:textId="77777777" w:rsidR="00A11FCF" w:rsidRDefault="00A11FCF" w:rsidP="006A200A">
      <w:pPr>
        <w:tabs>
          <w:tab w:val="clear" w:pos="567"/>
        </w:tabs>
        <w:rPr>
          <w:rFonts w:ascii="Arial Black" w:hAnsi="Arial Black"/>
          <w:color w:val="C00000"/>
        </w:rPr>
      </w:pPr>
      <w:r>
        <w:rPr>
          <w:rFonts w:ascii="Arial Black" w:hAnsi="Arial Black"/>
          <w:color w:val="C00000"/>
        </w:rPr>
        <w:br w:type="page"/>
      </w:r>
    </w:p>
    <w:p w14:paraId="043DE3AA" w14:textId="77777777" w:rsidR="00285E93" w:rsidRPr="00113F8E" w:rsidRDefault="00057D23" w:rsidP="006A200A">
      <w:pPr>
        <w:jc w:val="center"/>
        <w:rPr>
          <w:rFonts w:ascii="Arial Black" w:hAnsi="Arial Black"/>
          <w:color w:val="C00000"/>
        </w:rPr>
      </w:pPr>
      <w:r>
        <w:rPr>
          <w:rFonts w:ascii="Arial Black" w:hAnsi="Arial Black"/>
          <w:color w:val="C00000"/>
        </w:rPr>
        <w:lastRenderedPageBreak/>
        <w:t xml:space="preserve">SCHEDULE </w:t>
      </w:r>
      <w:r w:rsidR="00E948ED">
        <w:rPr>
          <w:rFonts w:ascii="Arial Black" w:hAnsi="Arial Black"/>
          <w:color w:val="C00000"/>
        </w:rPr>
        <w:t>2</w:t>
      </w:r>
    </w:p>
    <w:p w14:paraId="5553A97A" w14:textId="77777777" w:rsidR="00285E93" w:rsidRPr="00113F8E" w:rsidRDefault="009177AF" w:rsidP="006A200A">
      <w:pPr>
        <w:jc w:val="center"/>
        <w:rPr>
          <w:b/>
          <w:bCs/>
          <w:lang w:eastAsia="en-US"/>
        </w:rPr>
      </w:pPr>
      <w:r w:rsidRPr="00113F8E">
        <w:rPr>
          <w:b/>
          <w:bCs/>
          <w:lang w:eastAsia="en-US"/>
        </w:rPr>
        <w:t>D</w:t>
      </w:r>
      <w:r w:rsidR="003D2641">
        <w:rPr>
          <w:b/>
          <w:bCs/>
          <w:lang w:eastAsia="en-US"/>
        </w:rPr>
        <w:t>eed of Accession</w:t>
      </w:r>
    </w:p>
    <w:p w14:paraId="05999A6B" w14:textId="77777777" w:rsidR="00285E93" w:rsidRPr="008B7C99" w:rsidRDefault="00285E93" w:rsidP="006A200A">
      <w:pPr>
        <w:rPr>
          <w:lang w:eastAsia="en-US"/>
        </w:rPr>
      </w:pPr>
    </w:p>
    <w:p w14:paraId="70C5C054" w14:textId="77777777" w:rsidR="00285E93" w:rsidRPr="00EC407F" w:rsidRDefault="001153DA" w:rsidP="006A200A">
      <w:r w:rsidRPr="00DB7B1C">
        <w:rPr>
          <w:lang w:eastAsia="en-US"/>
        </w:rPr>
        <w:t>[</w:t>
      </w:r>
      <w:r w:rsidR="002F0265" w:rsidRPr="00DB7B1C">
        <w:rPr>
          <w:i/>
          <w:lang w:eastAsia="en-US"/>
        </w:rPr>
        <w:t>Insert n</w:t>
      </w:r>
      <w:r w:rsidRPr="002E00FE">
        <w:rPr>
          <w:i/>
          <w:lang w:eastAsia="en-US"/>
        </w:rPr>
        <w:t>ame</w:t>
      </w:r>
      <w:r w:rsidR="002F0265" w:rsidRPr="002E00FE">
        <w:rPr>
          <w:i/>
          <w:lang w:eastAsia="en-US"/>
        </w:rPr>
        <w:t>, registered number (if applicable) and address</w:t>
      </w:r>
      <w:r w:rsidRPr="002E00FE">
        <w:rPr>
          <w:i/>
          <w:lang w:eastAsia="en-US"/>
        </w:rPr>
        <w:t xml:space="preserve"> of </w:t>
      </w:r>
      <w:r w:rsidR="00113F8E" w:rsidRPr="00EC407F">
        <w:rPr>
          <w:i/>
          <w:lang w:eastAsia="en-US"/>
        </w:rPr>
        <w:t>t</w:t>
      </w:r>
      <w:r w:rsidRPr="00EC407F">
        <w:rPr>
          <w:i/>
          <w:lang w:eastAsia="en-US"/>
        </w:rPr>
        <w:t>ransferee or subscribing shareholder</w:t>
      </w:r>
      <w:r w:rsidRPr="00EC407F">
        <w:rPr>
          <w:lang w:eastAsia="en-US"/>
        </w:rPr>
        <w:t>]</w:t>
      </w:r>
      <w:r w:rsidRPr="00EC407F">
        <w:t xml:space="preserve"> (</w:t>
      </w:r>
      <w:r w:rsidRPr="00EC407F">
        <w:rPr>
          <w:b/>
          <w:lang w:eastAsia="en-US"/>
        </w:rPr>
        <w:t>New Shareholder</w:t>
      </w:r>
      <w:r w:rsidRPr="00EC407F">
        <w:t>) confirms that:</w:t>
      </w:r>
    </w:p>
    <w:p w14:paraId="6D703EF7" w14:textId="77777777" w:rsidR="001153DA" w:rsidRPr="00EC407F" w:rsidRDefault="00113F8E" w:rsidP="006A200A">
      <w:pPr>
        <w:ind w:left="567" w:hanging="567"/>
      </w:pPr>
      <w:r w:rsidRPr="00EC407F">
        <w:t>1</w:t>
      </w:r>
      <w:r w:rsidRPr="00EC407F">
        <w:tab/>
      </w:r>
      <w:r w:rsidR="002F0265" w:rsidRPr="00EC407F">
        <w:t>[</w:t>
      </w:r>
      <w:r w:rsidR="002F0265" w:rsidRPr="00EC407F">
        <w:rPr>
          <w:i/>
        </w:rPr>
        <w:t>i</w:t>
      </w:r>
      <w:r w:rsidR="001153DA" w:rsidRPr="00EC407F">
        <w:rPr>
          <w:i/>
        </w:rPr>
        <w:t>t</w:t>
      </w:r>
      <w:r w:rsidR="002F0265" w:rsidRPr="00EC407F">
        <w:t>][</w:t>
      </w:r>
      <w:r w:rsidR="002F0265" w:rsidRPr="00EC407F">
        <w:rPr>
          <w:i/>
        </w:rPr>
        <w:t>he</w:t>
      </w:r>
      <w:r w:rsidR="002F0265" w:rsidRPr="00EC407F">
        <w:t>][</w:t>
      </w:r>
      <w:r w:rsidR="002F0265" w:rsidRPr="00EC407F">
        <w:rPr>
          <w:i/>
        </w:rPr>
        <w:t>she</w:t>
      </w:r>
      <w:r w:rsidR="002F0265" w:rsidRPr="00EC407F">
        <w:t>]</w:t>
      </w:r>
      <w:r w:rsidR="001153DA" w:rsidRPr="00EC407F">
        <w:t xml:space="preserve"> has been given and has read a copy of the Shareholders</w:t>
      </w:r>
      <w:r w:rsidR="007C4593">
        <w:t>’</w:t>
      </w:r>
      <w:r w:rsidR="001153DA" w:rsidRPr="00EC407F">
        <w:t xml:space="preserve"> Agreement between </w:t>
      </w:r>
      <w:r w:rsidR="002F0265" w:rsidRPr="00EC407F">
        <w:t>[</w:t>
      </w:r>
      <w:r w:rsidR="002F0265" w:rsidRPr="00EC407F">
        <w:rPr>
          <w:i/>
        </w:rPr>
        <w:t>insert names of the parties to the Agreement</w:t>
      </w:r>
      <w:r w:rsidR="00B8482C" w:rsidRPr="00EC407F">
        <w:t>]</w:t>
      </w:r>
      <w:r w:rsidR="001153DA" w:rsidRPr="00EC407F">
        <w:t xml:space="preserve"> dated [</w:t>
      </w:r>
      <w:r w:rsidR="002F0265" w:rsidRPr="00EC407F">
        <w:rPr>
          <w:i/>
        </w:rPr>
        <w:t xml:space="preserve">insert date of </w:t>
      </w:r>
      <w:r w:rsidRPr="00EC407F">
        <w:rPr>
          <w:i/>
        </w:rPr>
        <w:t>A</w:t>
      </w:r>
      <w:r w:rsidR="002F0265" w:rsidRPr="00EC407F">
        <w:rPr>
          <w:i/>
        </w:rPr>
        <w:t>greement</w:t>
      </w:r>
      <w:r w:rsidR="001153DA" w:rsidRPr="00EC407F">
        <w:t>] (</w:t>
      </w:r>
      <w:r w:rsidR="001153DA" w:rsidRPr="00EC407F">
        <w:rPr>
          <w:b/>
        </w:rPr>
        <w:t>Shareholders’ Agreement</w:t>
      </w:r>
      <w:r w:rsidR="002F0265" w:rsidRPr="00EC407F">
        <w:t>);</w:t>
      </w:r>
    </w:p>
    <w:p w14:paraId="062C6BAA" w14:textId="77777777" w:rsidR="001153DA" w:rsidRPr="00EC407F" w:rsidRDefault="00113F8E" w:rsidP="006A200A">
      <w:pPr>
        <w:ind w:left="567" w:hanging="567"/>
      </w:pPr>
      <w:r w:rsidRPr="00EC407F">
        <w:t>2</w:t>
      </w:r>
      <w:r w:rsidRPr="00EC407F">
        <w:tab/>
      </w:r>
      <w:r w:rsidR="002F0265" w:rsidRPr="00EC407F">
        <w:t>w</w:t>
      </w:r>
      <w:r w:rsidR="001153DA" w:rsidRPr="00EC407F">
        <w:t xml:space="preserve">ith effect from the date of transfer or issue of any shares in </w:t>
      </w:r>
      <w:r w:rsidR="00B8482C" w:rsidRPr="00EC407F">
        <w:t>[</w:t>
      </w:r>
      <w:r w:rsidR="002F0265" w:rsidRPr="00EC407F">
        <w:rPr>
          <w:i/>
        </w:rPr>
        <w:t>insert Company name</w:t>
      </w:r>
      <w:r w:rsidR="00B8482C" w:rsidRPr="00EC407F">
        <w:t>]</w:t>
      </w:r>
      <w:r w:rsidR="001153DA" w:rsidRPr="00EC407F">
        <w:t xml:space="preserve"> to the New Shareholder, the New Shareholder agrees to be bound by all the terms of the Shareholders’ Agreement as if the New Shareholder were a party to the Agreement;</w:t>
      </w:r>
      <w:r w:rsidR="002F0265" w:rsidRPr="00EC407F">
        <w:t xml:space="preserve"> and</w:t>
      </w:r>
    </w:p>
    <w:p w14:paraId="712B1BD1" w14:textId="77777777" w:rsidR="002F0265" w:rsidRDefault="00113F8E" w:rsidP="006A200A">
      <w:pPr>
        <w:ind w:left="567" w:hanging="567"/>
        <w:rPr>
          <w:rFonts w:cs="Arial"/>
          <w:lang w:eastAsia="en-US"/>
        </w:rPr>
      </w:pPr>
      <w:r w:rsidRPr="00EC407F">
        <w:rPr>
          <w:rFonts w:cs="Arial"/>
          <w:lang w:eastAsia="en-US"/>
        </w:rPr>
        <w:t>3</w:t>
      </w:r>
      <w:r w:rsidRPr="00EC407F">
        <w:rPr>
          <w:rFonts w:cs="Arial"/>
          <w:lang w:eastAsia="en-US"/>
        </w:rPr>
        <w:tab/>
      </w:r>
      <w:r w:rsidR="002F0265" w:rsidRPr="00EC407F">
        <w:rPr>
          <w:rFonts w:cs="Arial"/>
          <w:lang w:eastAsia="en-US"/>
        </w:rPr>
        <w:t>w</w:t>
      </w:r>
      <w:r w:rsidR="001153DA" w:rsidRPr="00EC407F">
        <w:rPr>
          <w:rFonts w:cs="Arial"/>
          <w:lang w:eastAsia="en-US"/>
        </w:rPr>
        <w:t>ith effect from the date of this Deed, the Shareholders’ Agreement will be read as if the New Shareholder was a party to the Shareholders’ Agreement, having all the rights and obligations of a party under that agreement.</w:t>
      </w:r>
    </w:p>
    <w:p w14:paraId="1DD71092" w14:textId="77777777" w:rsidR="00C02180" w:rsidRDefault="00C02180" w:rsidP="006A200A">
      <w:pPr>
        <w:ind w:left="567" w:hanging="567"/>
        <w:rPr>
          <w:rFonts w:cs="Arial"/>
          <w:lang w:eastAsia="en-US"/>
        </w:rPr>
      </w:pPr>
    </w:p>
    <w:p w14:paraId="5EA37D64" w14:textId="77777777" w:rsidR="00C02180" w:rsidRDefault="00C02180" w:rsidP="004F43F9">
      <w:pPr>
        <w:keepNext/>
        <w:tabs>
          <w:tab w:val="clear" w:pos="567"/>
          <w:tab w:val="left" w:pos="0"/>
        </w:tabs>
        <w:rPr>
          <w:b/>
          <w:color w:val="C00000"/>
        </w:rPr>
      </w:pPr>
      <w:r w:rsidRPr="001D0E9E">
        <w:rPr>
          <w:b/>
          <w:color w:val="C00000"/>
          <w:highlight w:val="lightGray"/>
        </w:rPr>
        <w:t>[</w:t>
      </w:r>
      <w:r w:rsidRPr="001D0E9E">
        <w:rPr>
          <w:b/>
          <w:i/>
          <w:color w:val="C00000"/>
          <w:highlight w:val="lightGray"/>
        </w:rPr>
        <w:t xml:space="preserve">User note:  Use the following signature block </w:t>
      </w:r>
      <w:r>
        <w:rPr>
          <w:b/>
          <w:i/>
          <w:color w:val="C00000"/>
          <w:highlight w:val="lightGray"/>
        </w:rPr>
        <w:t xml:space="preserve">if the New Shareholder </w:t>
      </w:r>
      <w:r w:rsidRPr="001D0E9E">
        <w:rPr>
          <w:b/>
          <w:i/>
          <w:color w:val="C00000"/>
          <w:highlight w:val="lightGray"/>
        </w:rPr>
        <w:t>is a company</w:t>
      </w:r>
      <w:r w:rsidRPr="001D0E9E">
        <w:rPr>
          <w:b/>
          <w:color w:val="C00000"/>
          <w:highlight w:val="lightGray"/>
        </w:rPr>
        <w:t>.]</w:t>
      </w:r>
    </w:p>
    <w:tbl>
      <w:tblPr>
        <w:tblW w:w="8748" w:type="dxa"/>
        <w:tblLayout w:type="fixed"/>
        <w:tblLook w:val="0000" w:firstRow="0" w:lastRow="0" w:firstColumn="0" w:lastColumn="0" w:noHBand="0" w:noVBand="0"/>
      </w:tblPr>
      <w:tblGrid>
        <w:gridCol w:w="3168"/>
        <w:gridCol w:w="360"/>
        <w:gridCol w:w="2520"/>
        <w:gridCol w:w="360"/>
        <w:gridCol w:w="2340"/>
      </w:tblGrid>
      <w:tr w:rsidR="00C02180" w:rsidRPr="00EC407F" w14:paraId="32F04C91" w14:textId="77777777" w:rsidTr="00D76364">
        <w:tc>
          <w:tcPr>
            <w:tcW w:w="3168" w:type="dxa"/>
            <w:shd w:val="clear" w:color="auto" w:fill="auto"/>
          </w:tcPr>
          <w:p w14:paraId="410E42B0" w14:textId="77777777" w:rsidR="00C02180" w:rsidRPr="00EC407F" w:rsidRDefault="00C02180" w:rsidP="004F43F9">
            <w:pPr>
              <w:keepNext/>
            </w:pPr>
            <w:r w:rsidRPr="00DB7B1C">
              <w:rPr>
                <w:b/>
              </w:rPr>
              <w:t>S</w:t>
            </w:r>
            <w:r w:rsidRPr="002E00FE">
              <w:rPr>
                <w:b/>
              </w:rPr>
              <w:t xml:space="preserve">IGNED </w:t>
            </w:r>
            <w:r w:rsidRPr="00EC407F">
              <w:rPr>
                <w:b/>
              </w:rPr>
              <w:t>AS A DEED</w:t>
            </w:r>
            <w:r w:rsidRPr="00EC407F">
              <w:t xml:space="preserve"> for and on behalf of </w:t>
            </w:r>
            <w:r w:rsidRPr="00EC407F">
              <w:rPr>
                <w:b/>
              </w:rPr>
              <w:t>[</w:t>
            </w:r>
            <w:r w:rsidRPr="00EC407F">
              <w:rPr>
                <w:b/>
                <w:i/>
              </w:rPr>
              <w:t>INSERT NAME OF NEW SHAREHOLDER</w:t>
            </w:r>
            <w:r w:rsidRPr="00EC407F">
              <w:rPr>
                <w:b/>
              </w:rPr>
              <w:t>]</w:t>
            </w:r>
            <w:r w:rsidRPr="00EC407F">
              <w:t xml:space="preserve"> by:</w:t>
            </w:r>
          </w:p>
        </w:tc>
        <w:tc>
          <w:tcPr>
            <w:tcW w:w="360" w:type="dxa"/>
            <w:shd w:val="clear" w:color="auto" w:fill="auto"/>
          </w:tcPr>
          <w:p w14:paraId="5B214037" w14:textId="77777777" w:rsidR="00C02180" w:rsidRPr="00EC407F" w:rsidRDefault="00C02180" w:rsidP="004F43F9">
            <w:pPr>
              <w:keepNext/>
              <w:rPr>
                <w:rFonts w:cs="Arial"/>
              </w:rPr>
            </w:pPr>
            <w:r w:rsidRPr="00EC407F">
              <w:rPr>
                <w:rFonts w:cs="Arial"/>
              </w:rPr>
              <w:t>)</w:t>
            </w:r>
            <w:r w:rsidRPr="00EC407F">
              <w:rPr>
                <w:rFonts w:cs="Arial"/>
              </w:rPr>
              <w:br/>
              <w:t>)</w:t>
            </w:r>
            <w:r w:rsidRPr="00EC407F">
              <w:rPr>
                <w:rFonts w:cs="Arial"/>
              </w:rPr>
              <w:br/>
              <w:t>)</w:t>
            </w:r>
          </w:p>
        </w:tc>
        <w:tc>
          <w:tcPr>
            <w:tcW w:w="2520" w:type="dxa"/>
          </w:tcPr>
          <w:p w14:paraId="25A95580" w14:textId="77777777" w:rsidR="00C02180" w:rsidRPr="00EC407F" w:rsidRDefault="00C02180" w:rsidP="004F43F9">
            <w:pPr>
              <w:keepNext/>
              <w:rPr>
                <w:rFonts w:cs="Arial"/>
              </w:rPr>
            </w:pPr>
          </w:p>
        </w:tc>
        <w:tc>
          <w:tcPr>
            <w:tcW w:w="360" w:type="dxa"/>
            <w:shd w:val="clear" w:color="auto" w:fill="auto"/>
          </w:tcPr>
          <w:p w14:paraId="6C41C8F8" w14:textId="77777777" w:rsidR="00C02180" w:rsidRPr="00EC407F" w:rsidRDefault="00C02180" w:rsidP="004F43F9">
            <w:pPr>
              <w:keepNext/>
              <w:rPr>
                <w:rFonts w:cs="Arial"/>
              </w:rPr>
            </w:pPr>
          </w:p>
        </w:tc>
        <w:tc>
          <w:tcPr>
            <w:tcW w:w="2340" w:type="dxa"/>
            <w:shd w:val="clear" w:color="auto" w:fill="auto"/>
          </w:tcPr>
          <w:p w14:paraId="32C7B826" w14:textId="77777777" w:rsidR="00C02180" w:rsidRPr="00EC407F" w:rsidRDefault="00C02180" w:rsidP="004F43F9">
            <w:pPr>
              <w:keepNext/>
              <w:rPr>
                <w:rFonts w:cs="Arial"/>
              </w:rPr>
            </w:pPr>
          </w:p>
        </w:tc>
      </w:tr>
      <w:tr w:rsidR="00C02180" w:rsidRPr="00EC407F" w14:paraId="2204A3CA" w14:textId="77777777" w:rsidTr="004F43F9">
        <w:trPr>
          <w:trHeight w:val="662"/>
        </w:trPr>
        <w:tc>
          <w:tcPr>
            <w:tcW w:w="3168" w:type="dxa"/>
            <w:shd w:val="clear" w:color="auto" w:fill="auto"/>
          </w:tcPr>
          <w:p w14:paraId="47B62A72" w14:textId="77777777" w:rsidR="00C02180" w:rsidRPr="00EC407F" w:rsidRDefault="00C02180" w:rsidP="004F43F9">
            <w:pPr>
              <w:keepNext/>
              <w:rPr>
                <w:rFonts w:cs="Arial"/>
              </w:rPr>
            </w:pPr>
          </w:p>
        </w:tc>
        <w:tc>
          <w:tcPr>
            <w:tcW w:w="360" w:type="dxa"/>
            <w:shd w:val="clear" w:color="auto" w:fill="auto"/>
          </w:tcPr>
          <w:p w14:paraId="3287341A" w14:textId="77777777" w:rsidR="00C02180" w:rsidRPr="00EC407F" w:rsidRDefault="00C02180" w:rsidP="004F43F9">
            <w:pPr>
              <w:keepNext/>
              <w:rPr>
                <w:rFonts w:cs="Arial"/>
              </w:rPr>
            </w:pPr>
          </w:p>
        </w:tc>
        <w:tc>
          <w:tcPr>
            <w:tcW w:w="2520" w:type="dxa"/>
            <w:tcBorders>
              <w:top w:val="single" w:sz="4" w:space="0" w:color="auto"/>
              <w:bottom w:val="single" w:sz="4" w:space="0" w:color="auto"/>
            </w:tcBorders>
          </w:tcPr>
          <w:p w14:paraId="07E69760" w14:textId="77777777" w:rsidR="00C02180" w:rsidRPr="00EC407F" w:rsidRDefault="00C02180" w:rsidP="004F43F9">
            <w:pPr>
              <w:keepNext/>
            </w:pPr>
            <w:r w:rsidRPr="00EC407F">
              <w:t>Signature</w:t>
            </w:r>
          </w:p>
        </w:tc>
        <w:tc>
          <w:tcPr>
            <w:tcW w:w="360" w:type="dxa"/>
            <w:shd w:val="clear" w:color="auto" w:fill="auto"/>
          </w:tcPr>
          <w:p w14:paraId="3449EDC1" w14:textId="77777777" w:rsidR="00C02180" w:rsidRPr="00EC407F" w:rsidRDefault="00C02180" w:rsidP="004F43F9">
            <w:pPr>
              <w:keepNext/>
              <w:rPr>
                <w:rFonts w:cs="Arial"/>
              </w:rPr>
            </w:pPr>
          </w:p>
        </w:tc>
        <w:tc>
          <w:tcPr>
            <w:tcW w:w="2340" w:type="dxa"/>
            <w:tcBorders>
              <w:top w:val="single" w:sz="4" w:space="0" w:color="auto"/>
              <w:bottom w:val="single" w:sz="4" w:space="0" w:color="auto"/>
            </w:tcBorders>
            <w:shd w:val="clear" w:color="auto" w:fill="auto"/>
          </w:tcPr>
          <w:p w14:paraId="1332E194" w14:textId="77777777" w:rsidR="00C02180" w:rsidRPr="00EC407F" w:rsidRDefault="00C02180" w:rsidP="004F43F9">
            <w:pPr>
              <w:keepNext/>
            </w:pPr>
            <w:r w:rsidRPr="00EC407F">
              <w:t>Signature</w:t>
            </w:r>
          </w:p>
        </w:tc>
      </w:tr>
      <w:tr w:rsidR="00C02180" w:rsidRPr="00EC407F" w14:paraId="710E67BA" w14:textId="77777777" w:rsidTr="004F43F9">
        <w:trPr>
          <w:trHeight w:val="698"/>
        </w:trPr>
        <w:tc>
          <w:tcPr>
            <w:tcW w:w="3168" w:type="dxa"/>
            <w:shd w:val="clear" w:color="auto" w:fill="auto"/>
          </w:tcPr>
          <w:p w14:paraId="270C38A1" w14:textId="77777777" w:rsidR="00C02180" w:rsidRPr="00EC407F" w:rsidRDefault="00C02180" w:rsidP="004F43F9">
            <w:pPr>
              <w:keepNext/>
              <w:rPr>
                <w:rFonts w:cs="Arial"/>
              </w:rPr>
            </w:pPr>
          </w:p>
        </w:tc>
        <w:tc>
          <w:tcPr>
            <w:tcW w:w="360" w:type="dxa"/>
            <w:shd w:val="clear" w:color="auto" w:fill="auto"/>
          </w:tcPr>
          <w:p w14:paraId="1AE52D77" w14:textId="77777777" w:rsidR="00C02180" w:rsidRPr="00EC407F" w:rsidRDefault="00C02180" w:rsidP="004F43F9">
            <w:pPr>
              <w:keepNext/>
              <w:rPr>
                <w:rFonts w:cs="Arial"/>
              </w:rPr>
            </w:pPr>
          </w:p>
        </w:tc>
        <w:tc>
          <w:tcPr>
            <w:tcW w:w="2520" w:type="dxa"/>
            <w:tcBorders>
              <w:top w:val="single" w:sz="4" w:space="0" w:color="auto"/>
              <w:bottom w:val="single" w:sz="4" w:space="0" w:color="auto"/>
            </w:tcBorders>
          </w:tcPr>
          <w:p w14:paraId="650DF1D0" w14:textId="77777777" w:rsidR="00C02180" w:rsidRPr="00EC407F" w:rsidRDefault="00C02180" w:rsidP="004F43F9">
            <w:pPr>
              <w:keepNext/>
            </w:pPr>
            <w:r w:rsidRPr="00EC407F">
              <w:t xml:space="preserve">Print </w:t>
            </w:r>
            <w:r>
              <w:t>f</w:t>
            </w:r>
            <w:r w:rsidRPr="00EC407F">
              <w:t xml:space="preserve">ull </w:t>
            </w:r>
            <w:r>
              <w:t>n</w:t>
            </w:r>
            <w:r w:rsidRPr="00EC407F">
              <w:t>ame</w:t>
            </w:r>
          </w:p>
        </w:tc>
        <w:tc>
          <w:tcPr>
            <w:tcW w:w="360" w:type="dxa"/>
            <w:shd w:val="clear" w:color="auto" w:fill="auto"/>
          </w:tcPr>
          <w:p w14:paraId="6302B29E" w14:textId="77777777" w:rsidR="00C02180" w:rsidRPr="00EC407F" w:rsidRDefault="00C02180" w:rsidP="004F43F9">
            <w:pPr>
              <w:keepNext/>
              <w:rPr>
                <w:rFonts w:cs="Arial"/>
              </w:rPr>
            </w:pPr>
          </w:p>
        </w:tc>
        <w:tc>
          <w:tcPr>
            <w:tcW w:w="2340" w:type="dxa"/>
            <w:tcBorders>
              <w:top w:val="single" w:sz="4" w:space="0" w:color="auto"/>
              <w:bottom w:val="single" w:sz="4" w:space="0" w:color="auto"/>
            </w:tcBorders>
            <w:shd w:val="clear" w:color="auto" w:fill="auto"/>
          </w:tcPr>
          <w:p w14:paraId="798B537A" w14:textId="77777777" w:rsidR="00C02180" w:rsidRPr="00EC407F" w:rsidRDefault="00C02180" w:rsidP="004F43F9">
            <w:pPr>
              <w:keepNext/>
            </w:pPr>
            <w:r w:rsidRPr="00EC407F">
              <w:t xml:space="preserve">Print </w:t>
            </w:r>
            <w:r>
              <w:t>f</w:t>
            </w:r>
            <w:r w:rsidRPr="00EC407F">
              <w:t xml:space="preserve">ull </w:t>
            </w:r>
            <w:r>
              <w:t>n</w:t>
            </w:r>
            <w:r w:rsidRPr="00EC407F">
              <w:t>ame</w:t>
            </w:r>
          </w:p>
        </w:tc>
      </w:tr>
      <w:tr w:rsidR="00C02180" w:rsidRPr="00EC407F" w14:paraId="780FD68A" w14:textId="77777777" w:rsidTr="00D76364">
        <w:tc>
          <w:tcPr>
            <w:tcW w:w="3168" w:type="dxa"/>
            <w:shd w:val="clear" w:color="auto" w:fill="auto"/>
          </w:tcPr>
          <w:p w14:paraId="50AE46E0" w14:textId="77777777" w:rsidR="00C02180" w:rsidRPr="00EC407F" w:rsidRDefault="00C02180" w:rsidP="006A200A">
            <w:pPr>
              <w:keepNext/>
              <w:rPr>
                <w:rFonts w:cs="Arial"/>
              </w:rPr>
            </w:pPr>
          </w:p>
        </w:tc>
        <w:tc>
          <w:tcPr>
            <w:tcW w:w="360" w:type="dxa"/>
            <w:shd w:val="clear" w:color="auto" w:fill="auto"/>
          </w:tcPr>
          <w:p w14:paraId="48E1E667" w14:textId="77777777" w:rsidR="00C02180" w:rsidRPr="00EC407F" w:rsidRDefault="00C02180" w:rsidP="006A200A">
            <w:pPr>
              <w:keepNext/>
              <w:rPr>
                <w:rFonts w:cs="Arial"/>
              </w:rPr>
            </w:pPr>
          </w:p>
        </w:tc>
        <w:tc>
          <w:tcPr>
            <w:tcW w:w="2520" w:type="dxa"/>
            <w:tcBorders>
              <w:top w:val="single" w:sz="4" w:space="0" w:color="auto"/>
            </w:tcBorders>
          </w:tcPr>
          <w:p w14:paraId="1D50CDE5" w14:textId="77777777" w:rsidR="00C02180" w:rsidRPr="00EC407F" w:rsidRDefault="00C02180" w:rsidP="006A200A">
            <w:pPr>
              <w:keepNext/>
              <w:rPr>
                <w:rFonts w:cs="Arial"/>
              </w:rPr>
            </w:pPr>
            <w:r w:rsidRPr="00EC407F">
              <w:rPr>
                <w:rFonts w:cs="Arial"/>
              </w:rPr>
              <w:t xml:space="preserve">Print </w:t>
            </w:r>
            <w:r>
              <w:rPr>
                <w:rFonts w:cs="Arial"/>
              </w:rPr>
              <w:t>t</w:t>
            </w:r>
            <w:r w:rsidRPr="00EC407F">
              <w:rPr>
                <w:rFonts w:cs="Arial"/>
              </w:rPr>
              <w:t xml:space="preserve">itle </w:t>
            </w:r>
          </w:p>
        </w:tc>
        <w:tc>
          <w:tcPr>
            <w:tcW w:w="360" w:type="dxa"/>
            <w:shd w:val="clear" w:color="auto" w:fill="auto"/>
          </w:tcPr>
          <w:p w14:paraId="3FF780D1" w14:textId="77777777" w:rsidR="00C02180" w:rsidRPr="00EC407F" w:rsidRDefault="00C02180" w:rsidP="006A200A">
            <w:pPr>
              <w:keepNext/>
              <w:rPr>
                <w:rFonts w:cs="Arial"/>
              </w:rPr>
            </w:pPr>
          </w:p>
        </w:tc>
        <w:tc>
          <w:tcPr>
            <w:tcW w:w="2340" w:type="dxa"/>
            <w:tcBorders>
              <w:top w:val="single" w:sz="4" w:space="0" w:color="auto"/>
            </w:tcBorders>
            <w:shd w:val="clear" w:color="auto" w:fill="auto"/>
          </w:tcPr>
          <w:p w14:paraId="1515955D" w14:textId="77777777" w:rsidR="00C02180" w:rsidRPr="00EC407F" w:rsidRDefault="00C02180" w:rsidP="006A200A">
            <w:pPr>
              <w:keepNext/>
              <w:rPr>
                <w:rFonts w:cs="Arial"/>
              </w:rPr>
            </w:pPr>
            <w:r w:rsidRPr="00EC407F">
              <w:rPr>
                <w:rFonts w:cs="Arial"/>
              </w:rPr>
              <w:t xml:space="preserve">Print </w:t>
            </w:r>
            <w:r>
              <w:rPr>
                <w:rFonts w:cs="Arial"/>
              </w:rPr>
              <w:t>t</w:t>
            </w:r>
            <w:r w:rsidRPr="00EC407F">
              <w:rPr>
                <w:rFonts w:cs="Arial"/>
              </w:rPr>
              <w:t xml:space="preserve">itle </w:t>
            </w:r>
          </w:p>
        </w:tc>
      </w:tr>
    </w:tbl>
    <w:p w14:paraId="12A67076" w14:textId="77777777" w:rsidR="00C02180" w:rsidRDefault="00C02180" w:rsidP="006A200A">
      <w:pPr>
        <w:ind w:left="567" w:hanging="567"/>
        <w:rPr>
          <w:rFonts w:cs="Arial"/>
          <w:lang w:eastAsia="en-US"/>
        </w:rPr>
      </w:pPr>
    </w:p>
    <w:p w14:paraId="163509F4" w14:textId="77777777" w:rsidR="00C02180" w:rsidRPr="005179B6" w:rsidRDefault="00C02180" w:rsidP="004F43F9">
      <w:pPr>
        <w:keepNext/>
        <w:rPr>
          <w:b/>
          <w:color w:val="C00000"/>
        </w:rPr>
      </w:pPr>
      <w:r w:rsidRPr="001D0E9E">
        <w:rPr>
          <w:b/>
          <w:color w:val="C00000"/>
          <w:highlight w:val="lightGray"/>
        </w:rPr>
        <w:lastRenderedPageBreak/>
        <w:t>[</w:t>
      </w:r>
      <w:r w:rsidRPr="001D0E9E">
        <w:rPr>
          <w:b/>
          <w:i/>
          <w:color w:val="C00000"/>
          <w:highlight w:val="lightGray"/>
        </w:rPr>
        <w:t xml:space="preserve">User note:  Use the following signature block </w:t>
      </w:r>
      <w:r>
        <w:rPr>
          <w:b/>
          <w:i/>
          <w:color w:val="C00000"/>
          <w:highlight w:val="lightGray"/>
        </w:rPr>
        <w:t xml:space="preserve">if the New Shareholder </w:t>
      </w:r>
      <w:r w:rsidRPr="001D0E9E">
        <w:rPr>
          <w:b/>
          <w:i/>
          <w:color w:val="C00000"/>
          <w:highlight w:val="lightGray"/>
        </w:rPr>
        <w:t>is an individual</w:t>
      </w:r>
      <w:r w:rsidRPr="001D0E9E">
        <w:rPr>
          <w:b/>
          <w:color w:val="C00000"/>
          <w:highlight w:val="lightGray"/>
        </w:rPr>
        <w:t>.]</w:t>
      </w:r>
    </w:p>
    <w:tbl>
      <w:tblPr>
        <w:tblW w:w="8330" w:type="dxa"/>
        <w:tblInd w:w="107" w:type="dxa"/>
        <w:tblLayout w:type="fixed"/>
        <w:tblLook w:val="0000" w:firstRow="0" w:lastRow="0" w:firstColumn="0" w:lastColumn="0" w:noHBand="0" w:noVBand="0"/>
      </w:tblPr>
      <w:tblGrid>
        <w:gridCol w:w="3828"/>
        <w:gridCol w:w="555"/>
        <w:gridCol w:w="3947"/>
      </w:tblGrid>
      <w:tr w:rsidR="002F0265" w:rsidRPr="00EC407F" w14:paraId="6CAB7736" w14:textId="77777777" w:rsidTr="002F0265">
        <w:trPr>
          <w:trHeight w:val="392"/>
        </w:trPr>
        <w:tc>
          <w:tcPr>
            <w:tcW w:w="3828" w:type="dxa"/>
          </w:tcPr>
          <w:p w14:paraId="0BCB9A21" w14:textId="77777777" w:rsidR="002F0265" w:rsidRPr="00EC407F" w:rsidRDefault="002F0265" w:rsidP="004F43F9">
            <w:pPr>
              <w:keepNext/>
            </w:pPr>
            <w:r w:rsidRPr="00DB7B1C">
              <w:rPr>
                <w:b/>
              </w:rPr>
              <w:t xml:space="preserve">SIGNED </w:t>
            </w:r>
            <w:r w:rsidR="00A11BC1" w:rsidRPr="002E00FE">
              <w:rPr>
                <w:b/>
              </w:rPr>
              <w:t>AS A DEED</w:t>
            </w:r>
            <w:r w:rsidR="00A11BC1" w:rsidRPr="00EC407F">
              <w:t xml:space="preserve"> </w:t>
            </w:r>
            <w:r w:rsidRPr="00EC407F">
              <w:t xml:space="preserve">by </w:t>
            </w:r>
            <w:r w:rsidRPr="00EC407F">
              <w:rPr>
                <w:b/>
              </w:rPr>
              <w:t>[</w:t>
            </w:r>
            <w:r w:rsidRPr="00EC407F">
              <w:rPr>
                <w:b/>
                <w:i/>
              </w:rPr>
              <w:t>INSERT NAME OF NEW SHAREHOLDER</w:t>
            </w:r>
            <w:r w:rsidRPr="00EC407F">
              <w:rPr>
                <w:b/>
              </w:rPr>
              <w:t>]</w:t>
            </w:r>
          </w:p>
        </w:tc>
        <w:tc>
          <w:tcPr>
            <w:tcW w:w="555" w:type="dxa"/>
          </w:tcPr>
          <w:p w14:paraId="1CE49837" w14:textId="77777777" w:rsidR="002F0265" w:rsidRPr="00EC407F" w:rsidRDefault="002F0265" w:rsidP="004F43F9">
            <w:pPr>
              <w:keepNext/>
              <w:keepLines/>
              <w:tabs>
                <w:tab w:val="left" w:leader="dot" w:pos="4026"/>
              </w:tabs>
              <w:rPr>
                <w:rFonts w:cs="Arial"/>
              </w:rPr>
            </w:pPr>
            <w:r w:rsidRPr="00EC407F">
              <w:rPr>
                <w:rFonts w:cs="Arial"/>
              </w:rPr>
              <w:t>)</w:t>
            </w:r>
            <w:r w:rsidR="00B87AE7" w:rsidRPr="00EC407F">
              <w:rPr>
                <w:rFonts w:cs="Arial"/>
              </w:rPr>
              <w:br/>
              <w:t>)</w:t>
            </w:r>
          </w:p>
        </w:tc>
        <w:tc>
          <w:tcPr>
            <w:tcW w:w="3947" w:type="dxa"/>
            <w:tcBorders>
              <w:bottom w:val="single" w:sz="4" w:space="0" w:color="auto"/>
            </w:tcBorders>
          </w:tcPr>
          <w:p w14:paraId="08B0409D" w14:textId="77777777" w:rsidR="002F0265" w:rsidRPr="00EC407F" w:rsidRDefault="002F0265" w:rsidP="004F43F9">
            <w:pPr>
              <w:keepNext/>
              <w:keepLines/>
              <w:tabs>
                <w:tab w:val="left" w:leader="dot" w:pos="4026"/>
              </w:tabs>
              <w:rPr>
                <w:rFonts w:cs="Arial"/>
              </w:rPr>
            </w:pPr>
          </w:p>
        </w:tc>
      </w:tr>
      <w:tr w:rsidR="004F43F9" w:rsidRPr="00EC407F" w14:paraId="6965D831" w14:textId="77777777" w:rsidTr="002F0265">
        <w:trPr>
          <w:trHeight w:val="326"/>
        </w:trPr>
        <w:tc>
          <w:tcPr>
            <w:tcW w:w="3828" w:type="dxa"/>
            <w:tcBorders>
              <w:bottom w:val="single" w:sz="4" w:space="0" w:color="auto"/>
            </w:tcBorders>
          </w:tcPr>
          <w:p w14:paraId="09094AF5" w14:textId="77777777" w:rsidR="004F43F9" w:rsidRPr="00EC407F" w:rsidRDefault="004F43F9" w:rsidP="004F43F9">
            <w:pPr>
              <w:keepNext/>
              <w:tabs>
                <w:tab w:val="left" w:pos="2694"/>
              </w:tabs>
              <w:rPr>
                <w:rFonts w:cs="Arial"/>
              </w:rPr>
            </w:pPr>
          </w:p>
        </w:tc>
        <w:tc>
          <w:tcPr>
            <w:tcW w:w="555" w:type="dxa"/>
            <w:vMerge w:val="restart"/>
          </w:tcPr>
          <w:p w14:paraId="448D41B1" w14:textId="77777777" w:rsidR="004F43F9" w:rsidRPr="00EC407F" w:rsidRDefault="004F43F9" w:rsidP="004F43F9">
            <w:pPr>
              <w:keepNext/>
              <w:tabs>
                <w:tab w:val="left" w:pos="2694"/>
              </w:tabs>
              <w:rPr>
                <w:rFonts w:cs="Arial"/>
              </w:rPr>
            </w:pPr>
          </w:p>
        </w:tc>
        <w:tc>
          <w:tcPr>
            <w:tcW w:w="3947" w:type="dxa"/>
            <w:vMerge w:val="restart"/>
            <w:tcBorders>
              <w:top w:val="single" w:sz="4" w:space="0" w:color="auto"/>
            </w:tcBorders>
          </w:tcPr>
          <w:p w14:paraId="7A1DEEFA" w14:textId="77777777" w:rsidR="004F43F9" w:rsidRPr="00EC407F" w:rsidRDefault="004F43F9" w:rsidP="004F43F9">
            <w:pPr>
              <w:keepNext/>
            </w:pPr>
            <w:r w:rsidRPr="00EC407F">
              <w:t>[</w:t>
            </w:r>
            <w:r w:rsidRPr="00EC407F">
              <w:rPr>
                <w:i/>
              </w:rPr>
              <w:t>insert name of New Shareholder</w:t>
            </w:r>
            <w:r w:rsidRPr="00EC407F">
              <w:t>]</w:t>
            </w:r>
          </w:p>
        </w:tc>
      </w:tr>
      <w:tr w:rsidR="004F43F9" w:rsidRPr="00EC407F" w14:paraId="334AC137" w14:textId="77777777" w:rsidTr="004F43F9">
        <w:trPr>
          <w:trHeight w:val="702"/>
        </w:trPr>
        <w:tc>
          <w:tcPr>
            <w:tcW w:w="3828" w:type="dxa"/>
            <w:tcBorders>
              <w:top w:val="single" w:sz="4" w:space="0" w:color="auto"/>
              <w:bottom w:val="single" w:sz="4" w:space="0" w:color="auto"/>
            </w:tcBorders>
          </w:tcPr>
          <w:p w14:paraId="0323B4E2" w14:textId="77777777" w:rsidR="004F43F9" w:rsidRPr="00EC407F" w:rsidRDefault="004F43F9" w:rsidP="004F43F9">
            <w:pPr>
              <w:keepNext/>
            </w:pPr>
            <w:r w:rsidRPr="00EC407F">
              <w:t>Signature of witness</w:t>
            </w:r>
          </w:p>
        </w:tc>
        <w:tc>
          <w:tcPr>
            <w:tcW w:w="555" w:type="dxa"/>
            <w:vMerge/>
            <w:tcBorders>
              <w:bottom w:val="nil"/>
            </w:tcBorders>
          </w:tcPr>
          <w:p w14:paraId="0BDEF6DB" w14:textId="77777777" w:rsidR="004F43F9" w:rsidRPr="00EC407F" w:rsidRDefault="004F43F9" w:rsidP="004F43F9">
            <w:pPr>
              <w:keepNext/>
              <w:tabs>
                <w:tab w:val="left" w:pos="2694"/>
              </w:tabs>
              <w:rPr>
                <w:rFonts w:cs="Arial"/>
              </w:rPr>
            </w:pPr>
          </w:p>
        </w:tc>
        <w:tc>
          <w:tcPr>
            <w:tcW w:w="3947" w:type="dxa"/>
            <w:vMerge/>
            <w:tcBorders>
              <w:bottom w:val="nil"/>
            </w:tcBorders>
          </w:tcPr>
          <w:p w14:paraId="03B0DE3F" w14:textId="77777777" w:rsidR="004F43F9" w:rsidRPr="00EC407F" w:rsidRDefault="004F43F9" w:rsidP="004F43F9">
            <w:pPr>
              <w:keepNext/>
              <w:tabs>
                <w:tab w:val="left" w:pos="2694"/>
              </w:tabs>
              <w:rPr>
                <w:rFonts w:cs="Arial"/>
              </w:rPr>
            </w:pPr>
          </w:p>
        </w:tc>
      </w:tr>
      <w:tr w:rsidR="004F43F9" w:rsidRPr="00EC407F" w14:paraId="4E3CFEEC" w14:textId="77777777" w:rsidTr="004F43F9">
        <w:trPr>
          <w:trHeight w:val="592"/>
        </w:trPr>
        <w:tc>
          <w:tcPr>
            <w:tcW w:w="3828" w:type="dxa"/>
            <w:tcBorders>
              <w:top w:val="single" w:sz="4" w:space="0" w:color="auto"/>
            </w:tcBorders>
          </w:tcPr>
          <w:p w14:paraId="55E31740" w14:textId="77777777" w:rsidR="004F43F9" w:rsidRPr="00EC407F" w:rsidRDefault="004F43F9" w:rsidP="006A200A">
            <w:r w:rsidRPr="00EC407F">
              <w:t>Name of witness</w:t>
            </w:r>
          </w:p>
        </w:tc>
        <w:tc>
          <w:tcPr>
            <w:tcW w:w="555" w:type="dxa"/>
          </w:tcPr>
          <w:p w14:paraId="03FFD502" w14:textId="77777777" w:rsidR="004F43F9" w:rsidRPr="00EC407F" w:rsidRDefault="004F43F9" w:rsidP="006A200A">
            <w:pPr>
              <w:keepNext/>
              <w:tabs>
                <w:tab w:val="left" w:pos="2694"/>
              </w:tabs>
              <w:rPr>
                <w:rFonts w:cs="Arial"/>
              </w:rPr>
            </w:pPr>
          </w:p>
        </w:tc>
        <w:tc>
          <w:tcPr>
            <w:tcW w:w="3947" w:type="dxa"/>
            <w:vMerge/>
          </w:tcPr>
          <w:p w14:paraId="089B70A4" w14:textId="77777777" w:rsidR="004F43F9" w:rsidRPr="00EC407F" w:rsidRDefault="004F43F9" w:rsidP="006A200A">
            <w:pPr>
              <w:keepNext/>
              <w:tabs>
                <w:tab w:val="left" w:pos="2694"/>
              </w:tabs>
              <w:rPr>
                <w:rFonts w:cs="Arial"/>
              </w:rPr>
            </w:pPr>
          </w:p>
        </w:tc>
      </w:tr>
      <w:tr w:rsidR="004F43F9" w:rsidRPr="00EC407F" w14:paraId="7838F8DE" w14:textId="77777777" w:rsidTr="004F43F9">
        <w:trPr>
          <w:trHeight w:val="700"/>
        </w:trPr>
        <w:tc>
          <w:tcPr>
            <w:tcW w:w="3828" w:type="dxa"/>
            <w:tcBorders>
              <w:top w:val="single" w:sz="4" w:space="0" w:color="auto"/>
            </w:tcBorders>
          </w:tcPr>
          <w:p w14:paraId="150C782E" w14:textId="77777777" w:rsidR="004F43F9" w:rsidRPr="00EC407F" w:rsidRDefault="004F43F9" w:rsidP="006A200A">
            <w:r w:rsidRPr="00EC407F">
              <w:t>Occupation of witness</w:t>
            </w:r>
          </w:p>
        </w:tc>
        <w:tc>
          <w:tcPr>
            <w:tcW w:w="555" w:type="dxa"/>
          </w:tcPr>
          <w:p w14:paraId="1A6B4B63" w14:textId="77777777" w:rsidR="004F43F9" w:rsidRPr="00EC407F" w:rsidRDefault="004F43F9" w:rsidP="006A200A">
            <w:pPr>
              <w:keepNext/>
              <w:tabs>
                <w:tab w:val="left" w:pos="2694"/>
              </w:tabs>
              <w:rPr>
                <w:rFonts w:cs="Arial"/>
              </w:rPr>
            </w:pPr>
          </w:p>
        </w:tc>
        <w:tc>
          <w:tcPr>
            <w:tcW w:w="3947" w:type="dxa"/>
            <w:vMerge/>
          </w:tcPr>
          <w:p w14:paraId="2137E42B" w14:textId="77777777" w:rsidR="004F43F9" w:rsidRPr="00EC407F" w:rsidRDefault="004F43F9" w:rsidP="006A200A">
            <w:pPr>
              <w:keepNext/>
              <w:tabs>
                <w:tab w:val="left" w:pos="2694"/>
              </w:tabs>
              <w:rPr>
                <w:rFonts w:cs="Arial"/>
              </w:rPr>
            </w:pPr>
          </w:p>
        </w:tc>
      </w:tr>
      <w:tr w:rsidR="004F43F9" w:rsidRPr="00EC407F" w14:paraId="15149EE5" w14:textId="77777777" w:rsidTr="002F0265">
        <w:tc>
          <w:tcPr>
            <w:tcW w:w="3828" w:type="dxa"/>
            <w:tcBorders>
              <w:top w:val="single" w:sz="4" w:space="0" w:color="auto"/>
            </w:tcBorders>
          </w:tcPr>
          <w:p w14:paraId="3CB06624" w14:textId="77777777" w:rsidR="004F43F9" w:rsidRPr="00EC407F" w:rsidRDefault="004F43F9" w:rsidP="006A200A">
            <w:r w:rsidRPr="00EC407F">
              <w:t>Address of witness</w:t>
            </w:r>
          </w:p>
        </w:tc>
        <w:tc>
          <w:tcPr>
            <w:tcW w:w="555" w:type="dxa"/>
          </w:tcPr>
          <w:p w14:paraId="564B58E8" w14:textId="77777777" w:rsidR="004F43F9" w:rsidRPr="00EC407F" w:rsidRDefault="004F43F9" w:rsidP="006A200A">
            <w:pPr>
              <w:keepNext/>
              <w:tabs>
                <w:tab w:val="left" w:pos="2694"/>
              </w:tabs>
              <w:rPr>
                <w:rFonts w:cs="Arial"/>
              </w:rPr>
            </w:pPr>
          </w:p>
        </w:tc>
        <w:tc>
          <w:tcPr>
            <w:tcW w:w="3947" w:type="dxa"/>
            <w:vMerge/>
          </w:tcPr>
          <w:p w14:paraId="239E905A" w14:textId="77777777" w:rsidR="004F43F9" w:rsidRPr="00EC407F" w:rsidRDefault="004F43F9" w:rsidP="006A200A">
            <w:pPr>
              <w:keepNext/>
              <w:tabs>
                <w:tab w:val="left" w:pos="2694"/>
              </w:tabs>
              <w:rPr>
                <w:rFonts w:cs="Arial"/>
              </w:rPr>
            </w:pPr>
          </w:p>
        </w:tc>
      </w:tr>
    </w:tbl>
    <w:p w14:paraId="532074A2" w14:textId="77777777" w:rsidR="001459F4" w:rsidRPr="008B7C99" w:rsidRDefault="001459F4" w:rsidP="006A200A">
      <w:pPr>
        <w:rPr>
          <w:rFonts w:cs="Arial"/>
          <w:lang w:eastAsia="en-US"/>
        </w:rPr>
      </w:pPr>
    </w:p>
    <w:p w14:paraId="1F274298" w14:textId="77777777" w:rsidR="00E948ED" w:rsidRDefault="005005AF" w:rsidP="006A200A">
      <w:pPr>
        <w:jc w:val="center"/>
        <w:rPr>
          <w:lang w:eastAsia="en-US"/>
        </w:rPr>
      </w:pPr>
      <w:r w:rsidRPr="003D2641">
        <w:rPr>
          <w:rFonts w:ascii="Arial Black" w:hAnsi="Arial Black"/>
          <w:color w:val="C00000"/>
          <w:lang w:eastAsia="en-US"/>
        </w:rPr>
        <w:br w:type="page"/>
      </w:r>
    </w:p>
    <w:p w14:paraId="40328F98" w14:textId="77777777" w:rsidR="00F57279" w:rsidRDefault="00F57279" w:rsidP="006A200A">
      <w:pPr>
        <w:tabs>
          <w:tab w:val="clear" w:pos="567"/>
        </w:tabs>
        <w:jc w:val="center"/>
        <w:rPr>
          <w:rFonts w:ascii="Arial Black" w:hAnsi="Arial Black"/>
          <w:color w:val="C00000"/>
          <w:lang w:eastAsia="en-US"/>
        </w:rPr>
      </w:pPr>
      <w:r w:rsidRPr="009530BC">
        <w:rPr>
          <w:rFonts w:ascii="Arial Black" w:hAnsi="Arial Black"/>
          <w:color w:val="C00000"/>
          <w:lang w:eastAsia="en-US"/>
        </w:rPr>
        <w:lastRenderedPageBreak/>
        <w:t xml:space="preserve">SCHEDULE </w:t>
      </w:r>
      <w:r w:rsidR="00B20860">
        <w:rPr>
          <w:rFonts w:ascii="Arial Black" w:hAnsi="Arial Black"/>
          <w:color w:val="C00000"/>
          <w:lang w:eastAsia="en-US"/>
        </w:rPr>
        <w:t>3</w:t>
      </w:r>
    </w:p>
    <w:p w14:paraId="6EBB93E8" w14:textId="7BC6A7CA" w:rsidR="00F57279" w:rsidRDefault="00F57279" w:rsidP="006A200A">
      <w:pPr>
        <w:jc w:val="center"/>
        <w:rPr>
          <w:rFonts w:cs="Arial"/>
          <w:b/>
        </w:rPr>
      </w:pPr>
      <w:r w:rsidRPr="009530BC">
        <w:rPr>
          <w:rFonts w:cs="Arial"/>
          <w:b/>
        </w:rPr>
        <w:t>Pre-emptive rights on issues of Securities</w:t>
      </w:r>
    </w:p>
    <w:p w14:paraId="0F1FF5FC" w14:textId="4A9F0671" w:rsidR="00D86C1D" w:rsidRPr="00D86C1D" w:rsidRDefault="00D86C1D" w:rsidP="00D86C1D">
      <w:pPr>
        <w:keepNext/>
        <w:rPr>
          <w:b/>
          <w:i/>
          <w:color w:val="C00000"/>
          <w:highlight w:val="lightGray"/>
        </w:rPr>
      </w:pPr>
      <w:r w:rsidRPr="00D86C1D">
        <w:rPr>
          <w:b/>
          <w:i/>
          <w:color w:val="C00000"/>
          <w:highlight w:val="lightGray"/>
        </w:rPr>
        <w:t>[User note:</w:t>
      </w:r>
      <w:r>
        <w:rPr>
          <w:b/>
          <w:i/>
          <w:color w:val="C00000"/>
          <w:highlight w:val="lightGray"/>
        </w:rPr>
        <w:t xml:space="preserve">  These pre-emptive rights apply in favour of all shareholders.  If the rights are only to be given in favour of specific shareholders, this Schedule will need amending.</w:t>
      </w:r>
      <w:r>
        <w:rPr>
          <w:b/>
          <w:color w:val="C00000"/>
          <w:highlight w:val="lightGray"/>
        </w:rPr>
        <w:t>]</w:t>
      </w:r>
      <w:r w:rsidRPr="00D86C1D">
        <w:rPr>
          <w:b/>
          <w:i/>
          <w:color w:val="C00000"/>
          <w:highlight w:val="lightGray"/>
        </w:rPr>
        <w:t xml:space="preserve">  </w:t>
      </w:r>
    </w:p>
    <w:p w14:paraId="2D261562" w14:textId="77777777" w:rsidR="00F57279" w:rsidRPr="00F57279" w:rsidRDefault="00F57279" w:rsidP="006A200A">
      <w:pPr>
        <w:pStyle w:val="OutlinenumberedLevel1"/>
        <w:numPr>
          <w:ilvl w:val="0"/>
          <w:numId w:val="11"/>
        </w:numPr>
        <w:spacing w:before="0"/>
      </w:pPr>
      <w:bookmarkStart w:id="64" w:name="_Toc432578818"/>
      <w:bookmarkStart w:id="65" w:name="_Toc442184754"/>
      <w:bookmarkStart w:id="66" w:name="_Toc442243619"/>
      <w:bookmarkStart w:id="67" w:name="_Toc442674015"/>
      <w:bookmarkStart w:id="68" w:name="_Toc442690768"/>
      <w:bookmarkStart w:id="69" w:name="_Toc442766258"/>
      <w:bookmarkStart w:id="70" w:name="_Toc448897599"/>
      <w:bookmarkStart w:id="71" w:name="_Toc478525379"/>
      <w:bookmarkStart w:id="72" w:name="_Toc108250059"/>
      <w:r w:rsidRPr="00F57279">
        <w:t>P</w:t>
      </w:r>
      <w:bookmarkEnd w:id="64"/>
      <w:bookmarkEnd w:id="65"/>
      <w:bookmarkEnd w:id="66"/>
      <w:bookmarkEnd w:id="67"/>
      <w:bookmarkEnd w:id="68"/>
      <w:bookmarkEnd w:id="69"/>
      <w:bookmarkEnd w:id="70"/>
      <w:bookmarkEnd w:id="71"/>
      <w:bookmarkEnd w:id="72"/>
      <w:r w:rsidRPr="00F57279">
        <w:t>RE-EMPTIVE RIGHTS</w:t>
      </w:r>
    </w:p>
    <w:p w14:paraId="290F0BDF" w14:textId="77777777" w:rsidR="00F57279" w:rsidRPr="009530BC" w:rsidRDefault="00F57279" w:rsidP="006A200A">
      <w:pPr>
        <w:pStyle w:val="Heading2"/>
        <w:numPr>
          <w:ilvl w:val="0"/>
          <w:numId w:val="0"/>
        </w:numPr>
        <w:spacing w:after="200"/>
        <w:ind w:left="567"/>
        <w:rPr>
          <w:rFonts w:ascii="Arial" w:hAnsi="Arial" w:cs="Arial"/>
          <w:b/>
        </w:rPr>
      </w:pPr>
      <w:r w:rsidRPr="009530BC">
        <w:rPr>
          <w:rFonts w:ascii="Arial" w:hAnsi="Arial" w:cs="Arial"/>
        </w:rPr>
        <w:t xml:space="preserve">Subject to paragraph 2, all Securities proposed to be issued by the Company must be offered for acquisition in the manner set out in this Schedule </w:t>
      </w:r>
      <w:r w:rsidR="00B20860">
        <w:rPr>
          <w:rFonts w:ascii="Arial" w:hAnsi="Arial" w:cs="Arial"/>
        </w:rPr>
        <w:t>3</w:t>
      </w:r>
      <w:r w:rsidRPr="009530BC">
        <w:rPr>
          <w:rFonts w:ascii="Arial" w:hAnsi="Arial" w:cs="Arial"/>
        </w:rPr>
        <w:t xml:space="preserve"> to the existing Shareholders, except to the extent that the terms of any Securities already issued do not entitle the holders of those</w:t>
      </w:r>
      <w:r w:rsidR="009620A6">
        <w:rPr>
          <w:rFonts w:ascii="Arial" w:hAnsi="Arial" w:cs="Arial"/>
        </w:rPr>
        <w:t xml:space="preserve"> Securities to receive an offer.</w:t>
      </w:r>
    </w:p>
    <w:p w14:paraId="4147377D" w14:textId="77777777" w:rsidR="00F57279" w:rsidRPr="00F57279" w:rsidRDefault="00F57279" w:rsidP="006A200A">
      <w:pPr>
        <w:pStyle w:val="OutlinenumberedLevel1"/>
        <w:numPr>
          <w:ilvl w:val="0"/>
          <w:numId w:val="3"/>
        </w:numPr>
        <w:spacing w:before="0"/>
      </w:pPr>
      <w:r w:rsidRPr="00F57279">
        <w:t>COMPLIANCE WITH SECURITIES LEGISLATION</w:t>
      </w:r>
    </w:p>
    <w:p w14:paraId="64288934" w14:textId="77777777" w:rsidR="00F57279" w:rsidRPr="009530BC" w:rsidRDefault="00F57279" w:rsidP="006A200A">
      <w:pPr>
        <w:pStyle w:val="Heading2"/>
        <w:numPr>
          <w:ilvl w:val="0"/>
          <w:numId w:val="0"/>
        </w:numPr>
        <w:spacing w:after="200"/>
        <w:ind w:left="567"/>
        <w:rPr>
          <w:rFonts w:ascii="Arial" w:hAnsi="Arial" w:cs="Arial"/>
          <w:b/>
        </w:rPr>
      </w:pPr>
      <w:r w:rsidRPr="009530BC">
        <w:rPr>
          <w:rFonts w:ascii="Arial" w:hAnsi="Arial" w:cs="Arial"/>
        </w:rPr>
        <w:t xml:space="preserve">No Shareholder has the right to be offered or issued any Securities </w:t>
      </w:r>
      <w:r w:rsidR="007D3A23">
        <w:rPr>
          <w:rFonts w:ascii="Arial" w:hAnsi="Arial" w:cs="Arial"/>
        </w:rPr>
        <w:t xml:space="preserve">under </w:t>
      </w:r>
      <w:r w:rsidRPr="009530BC">
        <w:rPr>
          <w:rFonts w:ascii="Arial" w:hAnsi="Arial" w:cs="Arial"/>
        </w:rPr>
        <w:t xml:space="preserve">paragraph 1 unless the Company is satisfied </w:t>
      </w:r>
      <w:r w:rsidR="007D3A23">
        <w:rPr>
          <w:rFonts w:ascii="Arial" w:hAnsi="Arial" w:cs="Arial"/>
        </w:rPr>
        <w:t>that the offer and</w:t>
      </w:r>
      <w:r w:rsidRPr="009530BC">
        <w:rPr>
          <w:rFonts w:ascii="Arial" w:hAnsi="Arial" w:cs="Arial"/>
        </w:rPr>
        <w:t xml:space="preserve"> issue of Securities to that Shareholder will be exempt from compliance with relevant securities legislation.</w:t>
      </w:r>
    </w:p>
    <w:p w14:paraId="02248515" w14:textId="77777777" w:rsidR="00F57279" w:rsidRPr="00F57279" w:rsidRDefault="00F57279" w:rsidP="006A200A">
      <w:pPr>
        <w:pStyle w:val="OutlinenumberedLevel1"/>
        <w:numPr>
          <w:ilvl w:val="0"/>
          <w:numId w:val="3"/>
        </w:numPr>
        <w:spacing w:before="0"/>
      </w:pPr>
      <w:bookmarkStart w:id="73" w:name="_Toc429888304"/>
      <w:bookmarkStart w:id="74" w:name="_Toc432570510"/>
      <w:bookmarkStart w:id="75" w:name="_Toc432578819"/>
      <w:bookmarkStart w:id="76" w:name="_Toc442184755"/>
      <w:bookmarkStart w:id="77" w:name="_Toc442243620"/>
      <w:bookmarkStart w:id="78" w:name="_Toc442674016"/>
      <w:bookmarkStart w:id="79" w:name="_Toc442690769"/>
      <w:bookmarkStart w:id="80" w:name="_Toc442766259"/>
      <w:bookmarkStart w:id="81" w:name="_Toc448897600"/>
      <w:bookmarkStart w:id="82" w:name="_Toc478525380"/>
      <w:bookmarkStart w:id="83" w:name="_Toc108250060"/>
      <w:r w:rsidRPr="00F57279">
        <w:t>P</w:t>
      </w:r>
      <w:bookmarkEnd w:id="73"/>
      <w:bookmarkEnd w:id="74"/>
      <w:bookmarkEnd w:id="75"/>
      <w:bookmarkEnd w:id="76"/>
      <w:bookmarkEnd w:id="77"/>
      <w:bookmarkEnd w:id="78"/>
      <w:bookmarkEnd w:id="79"/>
      <w:bookmarkEnd w:id="80"/>
      <w:bookmarkEnd w:id="81"/>
      <w:bookmarkEnd w:id="82"/>
      <w:bookmarkEnd w:id="83"/>
      <w:r w:rsidRPr="00F57279">
        <w:t>RO RATA ENTITLEMENTS</w:t>
      </w:r>
    </w:p>
    <w:p w14:paraId="4E122D67" w14:textId="77777777" w:rsidR="00F57279" w:rsidRPr="009530BC" w:rsidRDefault="00F57279" w:rsidP="006A200A">
      <w:pPr>
        <w:pStyle w:val="Heading2"/>
        <w:numPr>
          <w:ilvl w:val="0"/>
          <w:numId w:val="0"/>
        </w:numPr>
        <w:spacing w:after="200"/>
        <w:ind w:left="567"/>
        <w:rPr>
          <w:rFonts w:ascii="Arial" w:hAnsi="Arial" w:cs="Arial"/>
          <w:b/>
        </w:rPr>
      </w:pPr>
      <w:r w:rsidRPr="009530BC">
        <w:rPr>
          <w:rFonts w:ascii="Arial" w:hAnsi="Arial" w:cs="Arial"/>
        </w:rPr>
        <w:t>All new Securities offered for acquisition (</w:t>
      </w:r>
      <w:r w:rsidRPr="009620A6">
        <w:rPr>
          <w:rFonts w:ascii="Arial" w:hAnsi="Arial" w:cs="Arial"/>
          <w:b/>
        </w:rPr>
        <w:t>New Securities</w:t>
      </w:r>
      <w:r w:rsidRPr="009530BC">
        <w:rPr>
          <w:rFonts w:ascii="Arial" w:hAnsi="Arial" w:cs="Arial"/>
        </w:rPr>
        <w:t>) must be offered to the existing Shareholders in proportion to the number of Securities held.  Any fractional entitlements to New Securities must be disregarded.</w:t>
      </w:r>
    </w:p>
    <w:p w14:paraId="2A6499CB" w14:textId="77777777" w:rsidR="00F57279" w:rsidRPr="00F57279" w:rsidRDefault="00F57279" w:rsidP="006A200A">
      <w:pPr>
        <w:pStyle w:val="OutlinenumberedLevel1"/>
        <w:numPr>
          <w:ilvl w:val="0"/>
          <w:numId w:val="3"/>
        </w:numPr>
        <w:spacing w:before="0"/>
      </w:pPr>
      <w:bookmarkStart w:id="84" w:name="_Toc429888305"/>
      <w:bookmarkStart w:id="85" w:name="_Toc432570511"/>
      <w:bookmarkStart w:id="86" w:name="_Toc432578820"/>
      <w:bookmarkStart w:id="87" w:name="_Toc442184756"/>
      <w:bookmarkStart w:id="88" w:name="_Toc442243621"/>
      <w:bookmarkStart w:id="89" w:name="_Toc442674017"/>
      <w:bookmarkStart w:id="90" w:name="_Toc442690770"/>
      <w:bookmarkStart w:id="91" w:name="_Toc442766260"/>
      <w:bookmarkStart w:id="92" w:name="_Toc448897601"/>
      <w:bookmarkStart w:id="93" w:name="_Toc478525381"/>
      <w:bookmarkStart w:id="94" w:name="_Toc108250061"/>
      <w:r w:rsidRPr="00F57279">
        <w:t>O</w:t>
      </w:r>
      <w:bookmarkEnd w:id="84"/>
      <w:bookmarkEnd w:id="85"/>
      <w:bookmarkEnd w:id="86"/>
      <w:bookmarkEnd w:id="87"/>
      <w:bookmarkEnd w:id="88"/>
      <w:bookmarkEnd w:id="89"/>
      <w:bookmarkEnd w:id="90"/>
      <w:bookmarkEnd w:id="91"/>
      <w:bookmarkEnd w:id="92"/>
      <w:bookmarkEnd w:id="93"/>
      <w:bookmarkEnd w:id="94"/>
      <w:r w:rsidRPr="00F57279">
        <w:t>FFER NOTICE</w:t>
      </w:r>
    </w:p>
    <w:p w14:paraId="706CD543" w14:textId="77777777" w:rsidR="00F57279" w:rsidRPr="009530BC" w:rsidRDefault="00F57279" w:rsidP="004F43F9">
      <w:pPr>
        <w:pStyle w:val="Heading2"/>
        <w:keepNext/>
        <w:numPr>
          <w:ilvl w:val="0"/>
          <w:numId w:val="0"/>
        </w:numPr>
        <w:spacing w:after="200"/>
        <w:ind w:left="567"/>
        <w:rPr>
          <w:rFonts w:ascii="Arial" w:hAnsi="Arial" w:cs="Arial"/>
          <w:b/>
        </w:rPr>
      </w:pPr>
      <w:r w:rsidRPr="009530BC">
        <w:rPr>
          <w:rFonts w:ascii="Arial" w:hAnsi="Arial" w:cs="Arial"/>
        </w:rPr>
        <w:t>The offer must be made by written notice, specifying:</w:t>
      </w:r>
    </w:p>
    <w:p w14:paraId="1A3E6759" w14:textId="77777777" w:rsidR="00F57279" w:rsidRPr="009530BC" w:rsidRDefault="00F57279" w:rsidP="006A200A">
      <w:pPr>
        <w:pStyle w:val="Heading2"/>
        <w:numPr>
          <w:ilvl w:val="2"/>
          <w:numId w:val="9"/>
        </w:numPr>
        <w:spacing w:after="200"/>
        <w:rPr>
          <w:rFonts w:ascii="Arial" w:hAnsi="Arial" w:cs="Arial"/>
          <w:b/>
        </w:rPr>
      </w:pPr>
      <w:r w:rsidRPr="009530BC">
        <w:rPr>
          <w:rFonts w:ascii="Arial" w:hAnsi="Arial" w:cs="Arial"/>
        </w:rPr>
        <w:t>the number, class and terms of the New Securities offered, including the number of New Securities to which the offeree is entitled;</w:t>
      </w:r>
    </w:p>
    <w:p w14:paraId="670F8C7C" w14:textId="77777777" w:rsidR="00F57279" w:rsidRPr="009530BC" w:rsidRDefault="00F57279" w:rsidP="006A200A">
      <w:pPr>
        <w:pStyle w:val="Heading2"/>
        <w:numPr>
          <w:ilvl w:val="2"/>
          <w:numId w:val="9"/>
        </w:numPr>
        <w:spacing w:after="200"/>
        <w:rPr>
          <w:rFonts w:ascii="Arial" w:hAnsi="Arial" w:cs="Arial"/>
          <w:b/>
        </w:rPr>
      </w:pPr>
      <w:r w:rsidRPr="009530BC">
        <w:rPr>
          <w:rFonts w:ascii="Arial" w:hAnsi="Arial" w:cs="Arial"/>
        </w:rPr>
        <w:t>the issue price and payment conditions; and</w:t>
      </w:r>
    </w:p>
    <w:p w14:paraId="5A8D5201" w14:textId="77777777" w:rsidR="00F57279" w:rsidRPr="009530BC" w:rsidRDefault="00F57279" w:rsidP="006A200A">
      <w:pPr>
        <w:pStyle w:val="Heading2"/>
        <w:numPr>
          <w:ilvl w:val="2"/>
          <w:numId w:val="9"/>
        </w:numPr>
        <w:spacing w:after="200"/>
        <w:rPr>
          <w:rFonts w:ascii="Arial" w:hAnsi="Arial" w:cs="Arial"/>
          <w:b/>
        </w:rPr>
      </w:pPr>
      <w:r w:rsidRPr="009530BC">
        <w:rPr>
          <w:rFonts w:ascii="Arial" w:hAnsi="Arial" w:cs="Arial"/>
        </w:rPr>
        <w:t>the date (being not less than 7 days nor more than 28 days after the date of the written notice) by which the offeree must give an acceptance notice in writing to the Company containing the details set out in paragraph 5.</w:t>
      </w:r>
    </w:p>
    <w:p w14:paraId="7A8FCBD9" w14:textId="77777777" w:rsidR="00F57279" w:rsidRPr="00F57279" w:rsidRDefault="00F57279" w:rsidP="006A200A">
      <w:pPr>
        <w:pStyle w:val="OutlinenumberedLevel1"/>
        <w:numPr>
          <w:ilvl w:val="0"/>
          <w:numId w:val="3"/>
        </w:numPr>
        <w:spacing w:before="0"/>
      </w:pPr>
      <w:bookmarkStart w:id="95" w:name="_Toc429888306"/>
      <w:bookmarkStart w:id="96" w:name="_Toc432570512"/>
      <w:bookmarkStart w:id="97" w:name="_Toc432578821"/>
      <w:bookmarkStart w:id="98" w:name="_Toc442184757"/>
      <w:bookmarkStart w:id="99" w:name="_Toc442243622"/>
      <w:bookmarkStart w:id="100" w:name="_Toc442674018"/>
      <w:bookmarkStart w:id="101" w:name="_Toc442690771"/>
      <w:bookmarkStart w:id="102" w:name="_Toc442766261"/>
      <w:bookmarkStart w:id="103" w:name="_Toc448897602"/>
      <w:bookmarkStart w:id="104" w:name="_Toc478525382"/>
      <w:bookmarkStart w:id="105" w:name="_Toc108250062"/>
      <w:r w:rsidRPr="00F57279">
        <w:t>A</w:t>
      </w:r>
      <w:bookmarkEnd w:id="95"/>
      <w:bookmarkEnd w:id="96"/>
      <w:bookmarkEnd w:id="97"/>
      <w:bookmarkEnd w:id="98"/>
      <w:bookmarkEnd w:id="99"/>
      <w:bookmarkEnd w:id="100"/>
      <w:bookmarkEnd w:id="101"/>
      <w:bookmarkEnd w:id="102"/>
      <w:bookmarkEnd w:id="103"/>
      <w:bookmarkEnd w:id="104"/>
      <w:bookmarkEnd w:id="105"/>
      <w:r w:rsidRPr="00F57279">
        <w:t>CCEPTANCE NOTICES</w:t>
      </w:r>
    </w:p>
    <w:p w14:paraId="798C3BB7" w14:textId="77777777" w:rsidR="00F57279" w:rsidRPr="009530BC" w:rsidRDefault="00F57279" w:rsidP="004F43F9">
      <w:pPr>
        <w:pStyle w:val="Heading2"/>
        <w:keepNext/>
        <w:numPr>
          <w:ilvl w:val="0"/>
          <w:numId w:val="0"/>
        </w:numPr>
        <w:spacing w:after="200"/>
        <w:ind w:left="567"/>
        <w:rPr>
          <w:rFonts w:ascii="Arial" w:hAnsi="Arial" w:cs="Arial"/>
          <w:b/>
        </w:rPr>
      </w:pPr>
      <w:r w:rsidRPr="009530BC">
        <w:rPr>
          <w:rFonts w:ascii="Arial" w:hAnsi="Arial" w:cs="Arial"/>
        </w:rPr>
        <w:t>Each acceptance notice must state whether or not the offeree wishes to purchase:</w:t>
      </w:r>
    </w:p>
    <w:p w14:paraId="13DBCD4D" w14:textId="77777777" w:rsidR="00F57279" w:rsidRPr="009530BC" w:rsidRDefault="00F57279" w:rsidP="006A200A">
      <w:pPr>
        <w:pStyle w:val="Heading2"/>
        <w:numPr>
          <w:ilvl w:val="2"/>
          <w:numId w:val="8"/>
        </w:numPr>
        <w:spacing w:after="200"/>
        <w:rPr>
          <w:rFonts w:ascii="Arial" w:hAnsi="Arial" w:cs="Arial"/>
          <w:b/>
        </w:rPr>
      </w:pPr>
      <w:r w:rsidRPr="009530BC">
        <w:rPr>
          <w:rFonts w:ascii="Arial" w:hAnsi="Arial" w:cs="Arial"/>
        </w:rPr>
        <w:t>the offeree’s entitlement or some lesser number of New Securities; and</w:t>
      </w:r>
    </w:p>
    <w:p w14:paraId="725FB326" w14:textId="77777777" w:rsidR="00F57279" w:rsidRPr="009530BC" w:rsidRDefault="00F57279" w:rsidP="006A200A">
      <w:pPr>
        <w:pStyle w:val="Heading2"/>
        <w:numPr>
          <w:ilvl w:val="2"/>
          <w:numId w:val="8"/>
        </w:numPr>
        <w:spacing w:after="200"/>
        <w:rPr>
          <w:rFonts w:ascii="Arial" w:hAnsi="Arial" w:cs="Arial"/>
          <w:b/>
        </w:rPr>
      </w:pPr>
      <w:r w:rsidRPr="009530BC">
        <w:rPr>
          <w:rFonts w:ascii="Arial" w:hAnsi="Arial" w:cs="Arial"/>
        </w:rPr>
        <w:t>any New Securities offered to, but declined by, other offerees (</w:t>
      </w:r>
      <w:r w:rsidRPr="009620A6">
        <w:rPr>
          <w:rFonts w:ascii="Arial" w:hAnsi="Arial" w:cs="Arial"/>
          <w:b/>
        </w:rPr>
        <w:t>Declined New Securities)</w:t>
      </w:r>
      <w:r w:rsidRPr="009530BC">
        <w:rPr>
          <w:rFonts w:ascii="Arial" w:hAnsi="Arial" w:cs="Arial"/>
        </w:rPr>
        <w:t xml:space="preserve"> and if so</w:t>
      </w:r>
      <w:r w:rsidR="00A63B98">
        <w:rPr>
          <w:rFonts w:ascii="Arial" w:hAnsi="Arial" w:cs="Arial"/>
        </w:rPr>
        <w:t>,</w:t>
      </w:r>
      <w:r w:rsidRPr="009530BC">
        <w:rPr>
          <w:rFonts w:ascii="Arial" w:hAnsi="Arial" w:cs="Arial"/>
        </w:rPr>
        <w:t xml:space="preserve"> what number.</w:t>
      </w:r>
    </w:p>
    <w:p w14:paraId="5C68B123" w14:textId="77777777" w:rsidR="00F57279" w:rsidRPr="009530BC" w:rsidRDefault="00F57279" w:rsidP="006A200A">
      <w:pPr>
        <w:pStyle w:val="OutlinenumberedLevel1"/>
        <w:numPr>
          <w:ilvl w:val="0"/>
          <w:numId w:val="3"/>
        </w:numPr>
        <w:spacing w:before="0"/>
      </w:pPr>
      <w:bookmarkStart w:id="106" w:name="_Ref19537283"/>
      <w:r w:rsidRPr="009530BC">
        <w:lastRenderedPageBreak/>
        <w:t>SECURITIES NOT ACCEPTED</w:t>
      </w:r>
    </w:p>
    <w:p w14:paraId="37608121" w14:textId="77777777" w:rsidR="00F57279" w:rsidRPr="009530BC" w:rsidRDefault="00F57279" w:rsidP="006A200A">
      <w:pPr>
        <w:pStyle w:val="Heading2"/>
        <w:numPr>
          <w:ilvl w:val="0"/>
          <w:numId w:val="0"/>
        </w:numPr>
        <w:spacing w:after="200"/>
        <w:ind w:left="567"/>
        <w:rPr>
          <w:rFonts w:ascii="Arial" w:hAnsi="Arial" w:cs="Arial"/>
          <w:b/>
        </w:rPr>
      </w:pPr>
      <w:r w:rsidRPr="009530BC">
        <w:rPr>
          <w:rFonts w:ascii="Arial" w:hAnsi="Arial" w:cs="Arial"/>
        </w:rPr>
        <w:t xml:space="preserve">New Securities offered to Shareholders under paragraph 4 and not accepted will be used to satisfy requests for allocations under paragraph 5b.  If there are insufficient Declined New Securities to satisfy those requests, the Declined New Securities must be divided among those Shareholders who request Declined New Securities, in proportion to their existing shareholdings in the Company, except </w:t>
      </w:r>
      <w:r w:rsidR="00A63B98">
        <w:rPr>
          <w:rFonts w:ascii="Arial" w:hAnsi="Arial" w:cs="Arial"/>
        </w:rPr>
        <w:t xml:space="preserve">that </w:t>
      </w:r>
      <w:r w:rsidRPr="009530BC">
        <w:rPr>
          <w:rFonts w:ascii="Arial" w:hAnsi="Arial" w:cs="Arial"/>
        </w:rPr>
        <w:t>no Shareholder will be allocated more Declined New Securities than the number which that Shareholder has requested and New Securities remaining unallocated after that proportional division (or any subsequent division) will be used to satisfy the requests for Declined New Securities which remain unsatisfied, in proportion to the existing shareholdings of the relevant Shareholders.</w:t>
      </w:r>
      <w:bookmarkEnd w:id="106"/>
    </w:p>
    <w:p w14:paraId="0C469AAB" w14:textId="77777777" w:rsidR="00F57279" w:rsidRPr="009530BC" w:rsidRDefault="00F57279" w:rsidP="006A200A">
      <w:pPr>
        <w:pStyle w:val="OutlinenumberedLevel1"/>
        <w:numPr>
          <w:ilvl w:val="0"/>
          <w:numId w:val="3"/>
        </w:numPr>
        <w:spacing w:before="0"/>
      </w:pPr>
      <w:r w:rsidRPr="009530BC">
        <w:t>RESIDUAL SHARES</w:t>
      </w:r>
    </w:p>
    <w:p w14:paraId="0BA85722" w14:textId="77777777" w:rsidR="00F57279" w:rsidRDefault="00F57279" w:rsidP="006A200A">
      <w:pPr>
        <w:pStyle w:val="Heading2"/>
        <w:numPr>
          <w:ilvl w:val="0"/>
          <w:numId w:val="0"/>
        </w:numPr>
        <w:spacing w:after="200"/>
        <w:ind w:left="567"/>
        <w:rPr>
          <w:rFonts w:ascii="Arial" w:hAnsi="Arial" w:cs="Arial"/>
        </w:rPr>
      </w:pPr>
      <w:r w:rsidRPr="009530BC">
        <w:rPr>
          <w:rFonts w:ascii="Arial" w:hAnsi="Arial" w:cs="Arial"/>
        </w:rPr>
        <w:t>New Securities remaining unallocated afte</w:t>
      </w:r>
      <w:r w:rsidR="00F137CB">
        <w:rPr>
          <w:rFonts w:ascii="Arial" w:hAnsi="Arial" w:cs="Arial"/>
        </w:rPr>
        <w:t>r compliance with paragraphs 1-6</w:t>
      </w:r>
      <w:r w:rsidRPr="009530BC">
        <w:rPr>
          <w:rFonts w:ascii="Arial" w:hAnsi="Arial" w:cs="Arial"/>
        </w:rPr>
        <w:t xml:space="preserve"> may, at any time within 4 months of the date the New Securities are offered to Shareholders under paragraph 4, be disposed of by the Board in the manner it thinks most beneficial to the Company and may be offered to any person or persons the Board is prepared to register as a Shareholder provided that the consideration for and terms of the issue must not be more favourable than those offered to the Shareholders under paragraph 4.</w:t>
      </w:r>
    </w:p>
    <w:p w14:paraId="542371FE" w14:textId="77777777" w:rsidR="00F57279" w:rsidRDefault="00F57279" w:rsidP="006A200A">
      <w:pPr>
        <w:tabs>
          <w:tab w:val="clear" w:pos="567"/>
        </w:tabs>
        <w:rPr>
          <w:rFonts w:ascii="Arial Black" w:hAnsi="Arial Black"/>
          <w:color w:val="C00000"/>
          <w:lang w:eastAsia="en-US"/>
        </w:rPr>
      </w:pPr>
      <w:r>
        <w:rPr>
          <w:rFonts w:ascii="Arial Black" w:hAnsi="Arial Black"/>
          <w:color w:val="C00000"/>
          <w:lang w:eastAsia="en-US"/>
        </w:rPr>
        <w:br w:type="page"/>
      </w:r>
    </w:p>
    <w:p w14:paraId="6ED8F16A" w14:textId="77777777" w:rsidR="009530BC" w:rsidRPr="009530BC" w:rsidRDefault="009530BC" w:rsidP="006A200A">
      <w:pPr>
        <w:jc w:val="center"/>
        <w:rPr>
          <w:rFonts w:cs="Arial"/>
          <w:color w:val="C00000"/>
        </w:rPr>
      </w:pPr>
      <w:r w:rsidRPr="009530BC">
        <w:rPr>
          <w:rFonts w:ascii="Arial Black" w:hAnsi="Arial Black"/>
          <w:color w:val="C00000"/>
          <w:lang w:eastAsia="en-US"/>
        </w:rPr>
        <w:lastRenderedPageBreak/>
        <w:t xml:space="preserve">SCHEDULE </w:t>
      </w:r>
      <w:r w:rsidR="00B20860">
        <w:rPr>
          <w:rFonts w:ascii="Arial Black" w:hAnsi="Arial Black"/>
          <w:color w:val="C00000"/>
          <w:lang w:eastAsia="en-US"/>
        </w:rPr>
        <w:t>4</w:t>
      </w:r>
    </w:p>
    <w:p w14:paraId="13B26F0A" w14:textId="77777777" w:rsidR="009530BC" w:rsidRPr="009530BC" w:rsidRDefault="009530BC" w:rsidP="006A200A">
      <w:pPr>
        <w:jc w:val="center"/>
        <w:rPr>
          <w:rFonts w:cs="Arial"/>
          <w:b/>
        </w:rPr>
      </w:pPr>
      <w:bookmarkStart w:id="107" w:name="_Toc268854714"/>
      <w:bookmarkStart w:id="108" w:name="_Toc378254069"/>
      <w:r w:rsidRPr="009530BC">
        <w:rPr>
          <w:rFonts w:cs="Arial"/>
          <w:b/>
        </w:rPr>
        <w:t>Pre-emptive rights on transfer</w:t>
      </w:r>
      <w:bookmarkEnd w:id="107"/>
      <w:bookmarkEnd w:id="108"/>
    </w:p>
    <w:p w14:paraId="3F5A8C1A" w14:textId="77777777" w:rsidR="009530BC" w:rsidRPr="009530BC" w:rsidRDefault="009530BC" w:rsidP="006A200A">
      <w:pPr>
        <w:pStyle w:val="OutlinenumberedLevel1"/>
        <w:numPr>
          <w:ilvl w:val="0"/>
          <w:numId w:val="10"/>
        </w:numPr>
        <w:spacing w:before="0"/>
      </w:pPr>
      <w:r w:rsidRPr="009530BC">
        <w:t>TRANSFER NOTICE</w:t>
      </w:r>
    </w:p>
    <w:p w14:paraId="0FBDA780" w14:textId="77777777" w:rsidR="007D3A23" w:rsidRPr="007D3A23" w:rsidRDefault="009530BC" w:rsidP="006A200A">
      <w:pPr>
        <w:pStyle w:val="Heading2"/>
        <w:numPr>
          <w:ilvl w:val="0"/>
          <w:numId w:val="0"/>
        </w:numPr>
        <w:spacing w:after="200"/>
        <w:ind w:left="567"/>
        <w:rPr>
          <w:rFonts w:ascii="Arial" w:hAnsi="Arial" w:cs="Arial"/>
        </w:rPr>
      </w:pPr>
      <w:r w:rsidRPr="009530BC">
        <w:rPr>
          <w:rFonts w:ascii="Arial" w:hAnsi="Arial" w:cs="Arial"/>
        </w:rPr>
        <w:t xml:space="preserve">A Shareholder proposing to sell or otherwise transfer any </w:t>
      </w:r>
      <w:r w:rsidR="007F6337">
        <w:rPr>
          <w:rFonts w:ascii="Arial" w:hAnsi="Arial" w:cs="Arial"/>
        </w:rPr>
        <w:t xml:space="preserve">Shares </w:t>
      </w:r>
      <w:r w:rsidRPr="009530BC">
        <w:rPr>
          <w:rFonts w:ascii="Arial" w:hAnsi="Arial" w:cs="Arial"/>
        </w:rPr>
        <w:t>(</w:t>
      </w:r>
      <w:r w:rsidRPr="00640133">
        <w:rPr>
          <w:rFonts w:ascii="Arial" w:hAnsi="Arial" w:cs="Arial"/>
          <w:b/>
        </w:rPr>
        <w:t>Proposing Transferor</w:t>
      </w:r>
      <w:r w:rsidRPr="009530BC">
        <w:rPr>
          <w:rFonts w:ascii="Arial" w:hAnsi="Arial" w:cs="Arial"/>
        </w:rPr>
        <w:t xml:space="preserve">) must give written notice to the Board specifying the </w:t>
      </w:r>
      <w:r w:rsidR="007F6337">
        <w:rPr>
          <w:rFonts w:ascii="Arial" w:hAnsi="Arial" w:cs="Arial"/>
        </w:rPr>
        <w:t>Shares</w:t>
      </w:r>
      <w:r w:rsidRPr="009530BC">
        <w:rPr>
          <w:rFonts w:ascii="Arial" w:hAnsi="Arial" w:cs="Arial"/>
        </w:rPr>
        <w:t xml:space="preserve"> to be sold and a price at which the </w:t>
      </w:r>
      <w:r w:rsidR="007F6337">
        <w:rPr>
          <w:rFonts w:ascii="Arial" w:hAnsi="Arial" w:cs="Arial"/>
        </w:rPr>
        <w:t>Shares</w:t>
      </w:r>
      <w:r w:rsidRPr="009530BC">
        <w:rPr>
          <w:rFonts w:ascii="Arial" w:hAnsi="Arial" w:cs="Arial"/>
        </w:rPr>
        <w:t xml:space="preserve"> are for sale (</w:t>
      </w:r>
      <w:r w:rsidRPr="007D3A23">
        <w:rPr>
          <w:rFonts w:ascii="Arial" w:hAnsi="Arial" w:cs="Arial"/>
          <w:b/>
        </w:rPr>
        <w:t>Transfer Notice</w:t>
      </w:r>
      <w:r w:rsidRPr="009530BC">
        <w:rPr>
          <w:rFonts w:ascii="Arial" w:hAnsi="Arial" w:cs="Arial"/>
        </w:rPr>
        <w:t xml:space="preserve">).  The Transfer Notice constitutes an offer to sell the Proposing Transferor’s </w:t>
      </w:r>
      <w:r w:rsidR="007F6337">
        <w:rPr>
          <w:rFonts w:ascii="Arial" w:hAnsi="Arial" w:cs="Arial"/>
        </w:rPr>
        <w:t>Shares</w:t>
      </w:r>
      <w:r w:rsidRPr="009530BC">
        <w:rPr>
          <w:rFonts w:ascii="Arial" w:hAnsi="Arial" w:cs="Arial"/>
        </w:rPr>
        <w:t xml:space="preserve"> to the other Shareholders in accordance with this Schedule.  It also constitutes an appointment of the Company as the Proposing Transferor’s agent for the transfer of the shares under this Schedule.  If a Transfer Notice includes several </w:t>
      </w:r>
      <w:r w:rsidR="007F6337">
        <w:rPr>
          <w:rFonts w:ascii="Arial" w:hAnsi="Arial" w:cs="Arial"/>
        </w:rPr>
        <w:t>Shares</w:t>
      </w:r>
      <w:r w:rsidRPr="009530BC">
        <w:rPr>
          <w:rFonts w:ascii="Arial" w:hAnsi="Arial" w:cs="Arial"/>
        </w:rPr>
        <w:t xml:space="preserve"> it is not to operate as if it were a separate notice in respect of each Share and the Proposing Transferor is under no obligation to sell or transfer part only of the </w:t>
      </w:r>
      <w:r w:rsidR="007F6337">
        <w:rPr>
          <w:rFonts w:ascii="Arial" w:hAnsi="Arial" w:cs="Arial"/>
        </w:rPr>
        <w:t>Shares</w:t>
      </w:r>
      <w:r w:rsidRPr="009530BC">
        <w:rPr>
          <w:rFonts w:ascii="Arial" w:hAnsi="Arial" w:cs="Arial"/>
        </w:rPr>
        <w:t xml:space="preserve"> specified in the Transfer Notice.  No Transfer Notice may be revoked by a Proposing Transferor except with the consent of the Board.</w:t>
      </w:r>
    </w:p>
    <w:p w14:paraId="79CF9C1C" w14:textId="77777777" w:rsidR="009530BC" w:rsidRPr="009530BC" w:rsidRDefault="009530BC" w:rsidP="006A200A">
      <w:pPr>
        <w:pStyle w:val="OutlinenumberedLevel1"/>
        <w:numPr>
          <w:ilvl w:val="0"/>
          <w:numId w:val="3"/>
        </w:numPr>
        <w:spacing w:before="0"/>
      </w:pPr>
      <w:r w:rsidRPr="009530BC">
        <w:t>CONTENTS OF TRANSFER NOTICE</w:t>
      </w:r>
    </w:p>
    <w:p w14:paraId="2CA4CA5F" w14:textId="77777777" w:rsidR="009530BC" w:rsidRPr="009530BC" w:rsidRDefault="009530BC" w:rsidP="006A200A">
      <w:pPr>
        <w:pStyle w:val="Heading2"/>
        <w:numPr>
          <w:ilvl w:val="0"/>
          <w:numId w:val="0"/>
        </w:numPr>
        <w:spacing w:after="200"/>
        <w:ind w:left="567"/>
        <w:rPr>
          <w:rFonts w:ascii="Arial" w:hAnsi="Arial" w:cs="Arial"/>
          <w:b/>
          <w:i/>
        </w:rPr>
      </w:pPr>
      <w:r w:rsidRPr="009530BC">
        <w:rPr>
          <w:rFonts w:ascii="Arial" w:hAnsi="Arial" w:cs="Arial"/>
        </w:rPr>
        <w:t>A Transfer Notice must specify:</w:t>
      </w:r>
    </w:p>
    <w:p w14:paraId="48F45D14" w14:textId="77777777" w:rsidR="009530BC" w:rsidRPr="009530BC" w:rsidRDefault="009530BC" w:rsidP="006A200A">
      <w:pPr>
        <w:pStyle w:val="OutlinenumberedLevel3"/>
        <w:numPr>
          <w:ilvl w:val="2"/>
          <w:numId w:val="3"/>
        </w:numPr>
        <w:spacing w:before="0"/>
      </w:pPr>
      <w:r w:rsidRPr="009530BC">
        <w:t xml:space="preserve">the number of </w:t>
      </w:r>
      <w:r w:rsidR="007F6337">
        <w:t>Shares</w:t>
      </w:r>
      <w:r w:rsidRPr="009530BC">
        <w:t xml:space="preserve"> the Proposing Transferor intends to sell or transfer (</w:t>
      </w:r>
      <w:r w:rsidRPr="009530BC">
        <w:rPr>
          <w:b/>
        </w:rPr>
        <w:t xml:space="preserve">Sale </w:t>
      </w:r>
      <w:r w:rsidR="007F6337">
        <w:rPr>
          <w:b/>
        </w:rPr>
        <w:t>Shares</w:t>
      </w:r>
      <w:r w:rsidRPr="009530BC">
        <w:t>); and</w:t>
      </w:r>
    </w:p>
    <w:p w14:paraId="61A39571" w14:textId="77777777" w:rsidR="009530BC" w:rsidRPr="009530BC" w:rsidRDefault="009530BC" w:rsidP="006A200A">
      <w:pPr>
        <w:pStyle w:val="OutlinenumberedLevel3"/>
        <w:numPr>
          <w:ilvl w:val="2"/>
          <w:numId w:val="3"/>
        </w:numPr>
        <w:spacing w:before="0"/>
      </w:pPr>
      <w:r w:rsidRPr="009530BC">
        <w:t>the proposed sale price and terms of sale including payment terms (</w:t>
      </w:r>
      <w:r w:rsidRPr="009530BC">
        <w:rPr>
          <w:b/>
        </w:rPr>
        <w:t>Proposed</w:t>
      </w:r>
      <w:r w:rsidRPr="009530BC">
        <w:t xml:space="preserve"> </w:t>
      </w:r>
      <w:r w:rsidRPr="009530BC">
        <w:rPr>
          <w:b/>
        </w:rPr>
        <w:t>Sale Price</w:t>
      </w:r>
      <w:r w:rsidRPr="009530BC">
        <w:t>).</w:t>
      </w:r>
    </w:p>
    <w:p w14:paraId="5BA8ED56" w14:textId="77777777" w:rsidR="009530BC" w:rsidRPr="009530BC" w:rsidRDefault="009530BC" w:rsidP="006A200A">
      <w:pPr>
        <w:pStyle w:val="OutlinenumberedLevel1"/>
        <w:numPr>
          <w:ilvl w:val="0"/>
          <w:numId w:val="3"/>
        </w:numPr>
        <w:spacing w:before="0"/>
      </w:pPr>
      <w:r w:rsidRPr="009530BC">
        <w:t>NOTICE</w:t>
      </w:r>
    </w:p>
    <w:p w14:paraId="7AA5DB8C" w14:textId="77777777" w:rsidR="009530BC" w:rsidRPr="009530BC" w:rsidRDefault="009530BC" w:rsidP="004F43F9">
      <w:pPr>
        <w:pStyle w:val="Heading2"/>
        <w:keepNext/>
        <w:numPr>
          <w:ilvl w:val="0"/>
          <w:numId w:val="0"/>
        </w:numPr>
        <w:spacing w:after="200"/>
        <w:ind w:left="567"/>
        <w:rPr>
          <w:rFonts w:ascii="Arial" w:hAnsi="Arial" w:cs="Arial"/>
          <w:b/>
          <w:i/>
        </w:rPr>
      </w:pPr>
      <w:r w:rsidRPr="009530BC">
        <w:rPr>
          <w:rFonts w:ascii="Arial" w:hAnsi="Arial" w:cs="Arial"/>
        </w:rPr>
        <w:t xml:space="preserve">Within 5 </w:t>
      </w:r>
      <w:r w:rsidR="00256203">
        <w:rPr>
          <w:rFonts w:ascii="Arial" w:hAnsi="Arial" w:cs="Arial"/>
        </w:rPr>
        <w:t>Business Day</w:t>
      </w:r>
      <w:r w:rsidRPr="009530BC">
        <w:rPr>
          <w:rFonts w:ascii="Arial" w:hAnsi="Arial" w:cs="Arial"/>
        </w:rPr>
        <w:t>s of receipt of a Transfer Notice the Board must send to each other Shareholder (</w:t>
      </w:r>
      <w:r w:rsidRPr="00256203">
        <w:rPr>
          <w:rFonts w:ascii="Arial" w:hAnsi="Arial" w:cs="Arial"/>
          <w:b/>
        </w:rPr>
        <w:t>Offeree</w:t>
      </w:r>
      <w:r w:rsidRPr="009530BC">
        <w:rPr>
          <w:rFonts w:ascii="Arial" w:hAnsi="Arial" w:cs="Arial"/>
        </w:rPr>
        <w:t>) a notice stating:</w:t>
      </w:r>
    </w:p>
    <w:p w14:paraId="47E48BDC" w14:textId="77777777" w:rsidR="009530BC" w:rsidRPr="009530BC" w:rsidRDefault="009530BC" w:rsidP="006A200A">
      <w:pPr>
        <w:pStyle w:val="OutlinenumberedLevel3"/>
        <w:numPr>
          <w:ilvl w:val="2"/>
          <w:numId w:val="3"/>
        </w:numPr>
        <w:spacing w:before="0"/>
      </w:pPr>
      <w:r w:rsidRPr="009530BC">
        <w:t xml:space="preserve">the number of Sale </w:t>
      </w:r>
      <w:r w:rsidR="007F6337">
        <w:t>Shares</w:t>
      </w:r>
      <w:r w:rsidRPr="009530BC">
        <w:t xml:space="preserve"> which the Offeree is entitled to purchase, which will be in proportion to that Shareholder’s existing shareholding;</w:t>
      </w:r>
    </w:p>
    <w:p w14:paraId="25D65675" w14:textId="77777777" w:rsidR="009530BC" w:rsidRPr="009530BC" w:rsidRDefault="009530BC" w:rsidP="006A200A">
      <w:pPr>
        <w:pStyle w:val="OutlinenumberedLevel3"/>
        <w:numPr>
          <w:ilvl w:val="2"/>
          <w:numId w:val="3"/>
        </w:numPr>
        <w:spacing w:before="0"/>
      </w:pPr>
      <w:r w:rsidRPr="009530BC">
        <w:t>the Proposed Sale Price; and</w:t>
      </w:r>
    </w:p>
    <w:p w14:paraId="2ABF90AF" w14:textId="77777777" w:rsidR="009530BC" w:rsidRPr="009530BC" w:rsidRDefault="009530BC" w:rsidP="006A200A">
      <w:pPr>
        <w:pStyle w:val="OutlinenumberedLevel3"/>
        <w:numPr>
          <w:ilvl w:val="2"/>
          <w:numId w:val="3"/>
        </w:numPr>
        <w:spacing w:before="0"/>
      </w:pPr>
      <w:r w:rsidRPr="009530BC">
        <w:t xml:space="preserve">the date (being not less than 20 </w:t>
      </w:r>
      <w:r w:rsidR="00256203">
        <w:t>Business Day</w:t>
      </w:r>
      <w:r w:rsidRPr="009530BC">
        <w:t xml:space="preserve">s and not more than 30 </w:t>
      </w:r>
      <w:r w:rsidR="00256203">
        <w:t>Business Day</w:t>
      </w:r>
      <w:r w:rsidRPr="009530BC">
        <w:t>s after the date of receipt by the Company of the Transfer Notice) by which the Offeree must give an acceptance notice in writing containing the details set out in paragraph 4 below.</w:t>
      </w:r>
    </w:p>
    <w:p w14:paraId="121E5CAC" w14:textId="77777777" w:rsidR="009530BC" w:rsidRPr="009530BC" w:rsidRDefault="009530BC" w:rsidP="006A200A">
      <w:pPr>
        <w:pStyle w:val="OutlinenumberedLevel1"/>
        <w:numPr>
          <w:ilvl w:val="0"/>
          <w:numId w:val="3"/>
        </w:numPr>
        <w:spacing w:before="0"/>
      </w:pPr>
      <w:r w:rsidRPr="009530BC">
        <w:t>ACCEPTANCE NOTICES</w:t>
      </w:r>
    </w:p>
    <w:p w14:paraId="31D5F6D2" w14:textId="77777777" w:rsidR="009530BC" w:rsidRPr="009530BC" w:rsidRDefault="009530BC" w:rsidP="004F43F9">
      <w:pPr>
        <w:pStyle w:val="Heading2"/>
        <w:keepNext/>
        <w:numPr>
          <w:ilvl w:val="0"/>
          <w:numId w:val="0"/>
        </w:numPr>
        <w:spacing w:after="200"/>
        <w:ind w:left="567"/>
        <w:rPr>
          <w:rFonts w:ascii="Arial" w:hAnsi="Arial" w:cs="Arial"/>
          <w:b/>
          <w:i/>
        </w:rPr>
      </w:pPr>
      <w:r w:rsidRPr="009530BC">
        <w:rPr>
          <w:rFonts w:ascii="Arial" w:hAnsi="Arial" w:cs="Arial"/>
        </w:rPr>
        <w:t>Each acceptance notice must state whether or not the Offeree wishes to purchase:</w:t>
      </w:r>
    </w:p>
    <w:p w14:paraId="786AA2F0" w14:textId="77777777" w:rsidR="009530BC" w:rsidRPr="009530BC" w:rsidRDefault="009530BC" w:rsidP="006A200A">
      <w:pPr>
        <w:pStyle w:val="OutlinenumberedLevel3"/>
        <w:numPr>
          <w:ilvl w:val="2"/>
          <w:numId w:val="3"/>
        </w:numPr>
        <w:spacing w:before="0"/>
      </w:pPr>
      <w:r w:rsidRPr="009530BC">
        <w:t>the Offeree’s entitlement on the terms specified in the Transfer Notice; and</w:t>
      </w:r>
    </w:p>
    <w:p w14:paraId="2DF9CA6C" w14:textId="77777777" w:rsidR="009530BC" w:rsidRPr="009530BC" w:rsidRDefault="009530BC" w:rsidP="006A200A">
      <w:pPr>
        <w:pStyle w:val="OutlinenumberedLevel3"/>
        <w:numPr>
          <w:ilvl w:val="2"/>
          <w:numId w:val="3"/>
        </w:numPr>
        <w:spacing w:before="0"/>
      </w:pPr>
      <w:r w:rsidRPr="009530BC">
        <w:lastRenderedPageBreak/>
        <w:t xml:space="preserve">any additional Sale </w:t>
      </w:r>
      <w:r w:rsidR="007F6337">
        <w:t>Shares</w:t>
      </w:r>
      <w:r w:rsidRPr="009530BC">
        <w:t xml:space="preserve"> on the terms specified in the Transfer Notice which have been offered to, but declined by, other Offerees (</w:t>
      </w:r>
      <w:r w:rsidRPr="009530BC">
        <w:rPr>
          <w:b/>
        </w:rPr>
        <w:t xml:space="preserve">Declined </w:t>
      </w:r>
      <w:r w:rsidR="007F6337">
        <w:rPr>
          <w:b/>
        </w:rPr>
        <w:t>Shares</w:t>
      </w:r>
      <w:r w:rsidRPr="009530BC">
        <w:t>) and if so, what number.</w:t>
      </w:r>
    </w:p>
    <w:p w14:paraId="62D7672D" w14:textId="77777777" w:rsidR="009530BC" w:rsidRPr="009530BC" w:rsidRDefault="009530BC" w:rsidP="006A200A">
      <w:pPr>
        <w:pStyle w:val="Heading2"/>
        <w:numPr>
          <w:ilvl w:val="0"/>
          <w:numId w:val="0"/>
        </w:numPr>
        <w:spacing w:after="200"/>
        <w:ind w:left="567"/>
        <w:rPr>
          <w:rFonts w:ascii="Arial" w:hAnsi="Arial" w:cs="Arial"/>
          <w:b/>
          <w:i/>
        </w:rPr>
      </w:pPr>
      <w:r w:rsidRPr="009530BC">
        <w:rPr>
          <w:rFonts w:ascii="Arial" w:hAnsi="Arial" w:cs="Arial"/>
        </w:rPr>
        <w:t>If the Offeree fails to give an acceptance notice by the required date, the Offeree will be deemed to have rejected the offer.</w:t>
      </w:r>
    </w:p>
    <w:p w14:paraId="7C9E104C" w14:textId="77777777" w:rsidR="009530BC" w:rsidRPr="009530BC" w:rsidRDefault="009530BC" w:rsidP="006A200A">
      <w:pPr>
        <w:pStyle w:val="OutlinenumberedLevel1"/>
        <w:numPr>
          <w:ilvl w:val="0"/>
          <w:numId w:val="3"/>
        </w:numPr>
        <w:spacing w:before="0"/>
      </w:pPr>
      <w:r w:rsidRPr="009530BC">
        <w:t>NOTICE TO PROPOSING TRANSFEROR</w:t>
      </w:r>
    </w:p>
    <w:p w14:paraId="56E4237A" w14:textId="77777777" w:rsidR="009530BC" w:rsidRPr="009530BC" w:rsidRDefault="009530BC" w:rsidP="006A200A">
      <w:pPr>
        <w:pStyle w:val="Heading2"/>
        <w:numPr>
          <w:ilvl w:val="0"/>
          <w:numId w:val="0"/>
        </w:numPr>
        <w:spacing w:after="200"/>
        <w:ind w:left="567"/>
        <w:rPr>
          <w:rFonts w:ascii="Arial" w:hAnsi="Arial" w:cs="Arial"/>
          <w:b/>
          <w:i/>
        </w:rPr>
      </w:pPr>
      <w:r w:rsidRPr="009530BC">
        <w:rPr>
          <w:rFonts w:ascii="Arial" w:hAnsi="Arial" w:cs="Arial"/>
        </w:rPr>
        <w:t xml:space="preserve">After receipt of acceptance notices from all Offerees or after the expiry of the date specified in the Board’s notice given under paragraph 3c (whichever is the earlier), the Board must within 5 </w:t>
      </w:r>
      <w:r w:rsidR="00256203">
        <w:rPr>
          <w:rFonts w:ascii="Arial" w:hAnsi="Arial" w:cs="Arial"/>
        </w:rPr>
        <w:t>Business Day</w:t>
      </w:r>
      <w:r w:rsidRPr="009530BC">
        <w:rPr>
          <w:rFonts w:ascii="Arial" w:hAnsi="Arial" w:cs="Arial"/>
        </w:rPr>
        <w:t>s send to the Proposing Transferor copies of all acceptance notices received or notify the Proposing Transferor that no acceptance notices have been received.</w:t>
      </w:r>
    </w:p>
    <w:p w14:paraId="0931E082" w14:textId="77777777" w:rsidR="009530BC" w:rsidRPr="009530BC" w:rsidRDefault="009530BC" w:rsidP="006A200A">
      <w:pPr>
        <w:pStyle w:val="OutlinenumberedLevel1"/>
        <w:numPr>
          <w:ilvl w:val="0"/>
          <w:numId w:val="3"/>
        </w:numPr>
        <w:spacing w:before="0"/>
      </w:pPr>
      <w:r w:rsidRPr="009530BC">
        <w:t>SALE AND PURCHASE</w:t>
      </w:r>
    </w:p>
    <w:p w14:paraId="597E7EE4" w14:textId="77777777" w:rsidR="009530BC" w:rsidRPr="009530BC" w:rsidRDefault="009530BC" w:rsidP="006A200A">
      <w:pPr>
        <w:pStyle w:val="Heading2"/>
        <w:numPr>
          <w:ilvl w:val="0"/>
          <w:numId w:val="0"/>
        </w:numPr>
        <w:spacing w:after="200"/>
        <w:ind w:left="567"/>
        <w:rPr>
          <w:rFonts w:ascii="Arial" w:hAnsi="Arial" w:cs="Arial"/>
          <w:b/>
          <w:i/>
        </w:rPr>
      </w:pPr>
      <w:r w:rsidRPr="009530BC">
        <w:rPr>
          <w:rFonts w:ascii="Arial" w:hAnsi="Arial" w:cs="Arial"/>
        </w:rPr>
        <w:t xml:space="preserve">If the acceptance notices received contain sufficient acceptances to enable the purchase of all of the Sale </w:t>
      </w:r>
      <w:r w:rsidR="007F6337">
        <w:rPr>
          <w:rFonts w:ascii="Arial" w:hAnsi="Arial" w:cs="Arial"/>
        </w:rPr>
        <w:t>Shares</w:t>
      </w:r>
      <w:r w:rsidRPr="009530BC">
        <w:rPr>
          <w:rFonts w:ascii="Arial" w:hAnsi="Arial" w:cs="Arial"/>
        </w:rPr>
        <w:t xml:space="preserve">, upon receipt of notice under paragraph 5 the Proposing Transferor must sell the Sale </w:t>
      </w:r>
      <w:r w:rsidR="007F6337">
        <w:rPr>
          <w:rFonts w:ascii="Arial" w:hAnsi="Arial" w:cs="Arial"/>
        </w:rPr>
        <w:t>Shares</w:t>
      </w:r>
      <w:r w:rsidRPr="009530BC">
        <w:rPr>
          <w:rFonts w:ascii="Arial" w:hAnsi="Arial" w:cs="Arial"/>
        </w:rPr>
        <w:t xml:space="preserve"> to the accepting Offerees in accordance with paragraphs 7, 8 and 9.  If the acceptance notices received do not contain sufficient acceptances to enable the purchase of all of the Sale </w:t>
      </w:r>
      <w:r w:rsidR="007F6337">
        <w:rPr>
          <w:rFonts w:ascii="Arial" w:hAnsi="Arial" w:cs="Arial"/>
        </w:rPr>
        <w:t>Shares</w:t>
      </w:r>
      <w:r w:rsidRPr="009530BC">
        <w:rPr>
          <w:rFonts w:ascii="Arial" w:hAnsi="Arial" w:cs="Arial"/>
        </w:rPr>
        <w:t xml:space="preserve"> (or if no acceptance notices are received), the Proposing Transferor is not bound to sell any of the Sale </w:t>
      </w:r>
      <w:r w:rsidR="007F6337">
        <w:rPr>
          <w:rFonts w:ascii="Arial" w:hAnsi="Arial" w:cs="Arial"/>
        </w:rPr>
        <w:t>Shares</w:t>
      </w:r>
      <w:r w:rsidRPr="009530BC">
        <w:rPr>
          <w:rFonts w:ascii="Arial" w:hAnsi="Arial" w:cs="Arial"/>
        </w:rPr>
        <w:t xml:space="preserve"> to the Offerees, and paragraph 11 will apply.</w:t>
      </w:r>
    </w:p>
    <w:p w14:paraId="64D6DC59" w14:textId="77777777" w:rsidR="009530BC" w:rsidRPr="009530BC" w:rsidRDefault="009530BC" w:rsidP="006A200A">
      <w:pPr>
        <w:pStyle w:val="OutlinenumberedLevel1"/>
        <w:numPr>
          <w:ilvl w:val="0"/>
          <w:numId w:val="3"/>
        </w:numPr>
        <w:spacing w:before="0"/>
      </w:pPr>
      <w:r w:rsidRPr="009530BC">
        <w:t>PURCHASERS</w:t>
      </w:r>
    </w:p>
    <w:p w14:paraId="21D03546" w14:textId="77777777" w:rsidR="009530BC" w:rsidRPr="009530BC" w:rsidRDefault="009530BC" w:rsidP="006A200A">
      <w:pPr>
        <w:pStyle w:val="Heading2"/>
        <w:numPr>
          <w:ilvl w:val="0"/>
          <w:numId w:val="0"/>
        </w:numPr>
        <w:spacing w:after="200"/>
        <w:ind w:left="567"/>
        <w:rPr>
          <w:rFonts w:ascii="Arial" w:hAnsi="Arial" w:cs="Arial"/>
          <w:b/>
          <w:i/>
        </w:rPr>
      </w:pPr>
      <w:r w:rsidRPr="009530BC">
        <w:rPr>
          <w:rFonts w:ascii="Arial" w:hAnsi="Arial" w:cs="Arial"/>
        </w:rPr>
        <w:t xml:space="preserve">The purchasers of the Sale </w:t>
      </w:r>
      <w:r w:rsidR="007F6337">
        <w:rPr>
          <w:rFonts w:ascii="Arial" w:hAnsi="Arial" w:cs="Arial"/>
        </w:rPr>
        <w:t>Shares</w:t>
      </w:r>
      <w:r w:rsidRPr="009530BC">
        <w:rPr>
          <w:rFonts w:ascii="Arial" w:hAnsi="Arial" w:cs="Arial"/>
        </w:rPr>
        <w:t xml:space="preserve"> will be determined as follows:</w:t>
      </w:r>
    </w:p>
    <w:p w14:paraId="4B988A55" w14:textId="77777777" w:rsidR="009530BC" w:rsidRPr="009530BC" w:rsidRDefault="009530BC" w:rsidP="006A200A">
      <w:pPr>
        <w:pStyle w:val="OutlinenumberedLevel3"/>
        <w:numPr>
          <w:ilvl w:val="2"/>
          <w:numId w:val="3"/>
        </w:numPr>
        <w:spacing w:before="0"/>
      </w:pPr>
      <w:r w:rsidRPr="009530BC">
        <w:t xml:space="preserve">if all Offerees have accepted their entitlements then each Offeree must purchase the number of Sale </w:t>
      </w:r>
      <w:r w:rsidR="007F6337">
        <w:t>Shares</w:t>
      </w:r>
      <w:r w:rsidRPr="009530BC">
        <w:t xml:space="preserve"> equivalent to that Offeree’s entitlement; or</w:t>
      </w:r>
    </w:p>
    <w:p w14:paraId="35FFB8CB" w14:textId="77777777" w:rsidR="009530BC" w:rsidRPr="009530BC" w:rsidRDefault="009530BC" w:rsidP="006A200A">
      <w:pPr>
        <w:pStyle w:val="OutlinenumberedLevel3"/>
        <w:numPr>
          <w:ilvl w:val="2"/>
          <w:numId w:val="3"/>
        </w:numPr>
        <w:spacing w:before="0"/>
      </w:pPr>
      <w:r w:rsidRPr="009530BC">
        <w:t xml:space="preserve">if not all Offerees accept their entitlement, but there are still sufficient acceptances to purchase all of the Sale </w:t>
      </w:r>
      <w:r w:rsidR="007F6337">
        <w:t>Shares</w:t>
      </w:r>
      <w:r w:rsidRPr="009530BC">
        <w:t xml:space="preserve">, each accepting Offeree will become bound to purchase that number of </w:t>
      </w:r>
      <w:r w:rsidR="007F6337">
        <w:t>Shares</w:t>
      </w:r>
      <w:r w:rsidRPr="009530BC">
        <w:t xml:space="preserve"> equal to the Offeree’s entitlement plus the number of any Declined </w:t>
      </w:r>
      <w:r w:rsidR="007F6337">
        <w:t>Shares</w:t>
      </w:r>
      <w:r w:rsidRPr="009530BC">
        <w:t xml:space="preserve"> that the Offeree agreed to accept in the Offeree’s acceptance notice.  </w:t>
      </w:r>
      <w:r w:rsidRPr="009530BC">
        <w:rPr>
          <w:iCs/>
        </w:rPr>
        <w:t xml:space="preserve">If there are insufficient Declined </w:t>
      </w:r>
      <w:r w:rsidR="007F6337">
        <w:rPr>
          <w:iCs/>
        </w:rPr>
        <w:t>Shares</w:t>
      </w:r>
      <w:r w:rsidRPr="009530BC">
        <w:rPr>
          <w:iCs/>
        </w:rPr>
        <w:t xml:space="preserve"> to satisfy those requests, the Declined </w:t>
      </w:r>
      <w:r w:rsidR="007F6337">
        <w:rPr>
          <w:iCs/>
        </w:rPr>
        <w:t>Shares</w:t>
      </w:r>
      <w:r w:rsidRPr="009530BC">
        <w:rPr>
          <w:iCs/>
        </w:rPr>
        <w:t xml:space="preserve"> must be divided among those Offerees who requested Declined </w:t>
      </w:r>
      <w:r w:rsidR="007F6337">
        <w:rPr>
          <w:iCs/>
        </w:rPr>
        <w:t>Shares</w:t>
      </w:r>
      <w:r w:rsidRPr="009530BC">
        <w:rPr>
          <w:iCs/>
        </w:rPr>
        <w:t xml:space="preserve"> in proportion to their existing shareholdings in the Company as among each other (except no Shareholder will be allocated more Declined </w:t>
      </w:r>
      <w:r w:rsidR="007F6337">
        <w:rPr>
          <w:iCs/>
        </w:rPr>
        <w:t>Shares</w:t>
      </w:r>
      <w:r w:rsidRPr="009530BC">
        <w:rPr>
          <w:iCs/>
        </w:rPr>
        <w:t xml:space="preserve"> than the number which that Shareholder has requested) and any Declined </w:t>
      </w:r>
      <w:r w:rsidR="007F6337">
        <w:rPr>
          <w:iCs/>
        </w:rPr>
        <w:t>Shares</w:t>
      </w:r>
      <w:r w:rsidRPr="009530BC">
        <w:rPr>
          <w:iCs/>
        </w:rPr>
        <w:t xml:space="preserve"> remaining unallocated after that proportional division (or any subsequent division) must be used to satisfy the requests for Declined </w:t>
      </w:r>
      <w:r w:rsidR="007F6337">
        <w:rPr>
          <w:iCs/>
        </w:rPr>
        <w:t>Shares</w:t>
      </w:r>
      <w:r w:rsidRPr="009530BC">
        <w:rPr>
          <w:iCs/>
        </w:rPr>
        <w:t xml:space="preserve"> which remain unsatisfied, in proportion to the existing shareholdings in the Company of the relevant Offerees or on any other basis the Board considers is fair and reasonable.</w:t>
      </w:r>
    </w:p>
    <w:p w14:paraId="2E611C63" w14:textId="77777777" w:rsidR="009530BC" w:rsidRPr="009530BC" w:rsidRDefault="009530BC" w:rsidP="006A200A">
      <w:pPr>
        <w:pStyle w:val="OutlinenumberedLevel1"/>
        <w:numPr>
          <w:ilvl w:val="0"/>
          <w:numId w:val="3"/>
        </w:numPr>
        <w:spacing w:before="0"/>
      </w:pPr>
      <w:r w:rsidRPr="009530BC">
        <w:lastRenderedPageBreak/>
        <w:t>SETTLEMENT</w:t>
      </w:r>
    </w:p>
    <w:p w14:paraId="5E8AD73B" w14:textId="77777777" w:rsidR="009530BC" w:rsidRPr="009530BC" w:rsidRDefault="009530BC" w:rsidP="006A200A">
      <w:pPr>
        <w:pStyle w:val="Heading2"/>
        <w:numPr>
          <w:ilvl w:val="0"/>
          <w:numId w:val="0"/>
        </w:numPr>
        <w:spacing w:after="200"/>
        <w:ind w:left="567"/>
        <w:rPr>
          <w:rFonts w:ascii="Arial" w:hAnsi="Arial" w:cs="Arial"/>
          <w:b/>
          <w:i/>
        </w:rPr>
      </w:pPr>
      <w:r w:rsidRPr="009530BC">
        <w:rPr>
          <w:rFonts w:ascii="Arial" w:hAnsi="Arial" w:cs="Arial"/>
        </w:rPr>
        <w:t xml:space="preserve">Settlement of the sale and purchase of the Sale </w:t>
      </w:r>
      <w:r w:rsidR="007F6337">
        <w:rPr>
          <w:rFonts w:ascii="Arial" w:hAnsi="Arial" w:cs="Arial"/>
        </w:rPr>
        <w:t>Shares</w:t>
      </w:r>
      <w:r w:rsidRPr="009530BC">
        <w:rPr>
          <w:rFonts w:ascii="Arial" w:hAnsi="Arial" w:cs="Arial"/>
        </w:rPr>
        <w:t xml:space="preserve"> must take place within 20 </w:t>
      </w:r>
      <w:r w:rsidR="00256203">
        <w:rPr>
          <w:rFonts w:ascii="Arial" w:hAnsi="Arial" w:cs="Arial"/>
        </w:rPr>
        <w:t>Business Day</w:t>
      </w:r>
      <w:r w:rsidRPr="009530BC">
        <w:rPr>
          <w:rFonts w:ascii="Arial" w:hAnsi="Arial" w:cs="Arial"/>
        </w:rPr>
        <w:t xml:space="preserve">s after the Proposing Transferor becomes bound to sell the Sale </w:t>
      </w:r>
      <w:r w:rsidR="007F6337">
        <w:rPr>
          <w:rFonts w:ascii="Arial" w:hAnsi="Arial" w:cs="Arial"/>
        </w:rPr>
        <w:t>Shares</w:t>
      </w:r>
      <w:r w:rsidRPr="009530BC">
        <w:rPr>
          <w:rFonts w:ascii="Arial" w:hAnsi="Arial" w:cs="Arial"/>
        </w:rPr>
        <w:t xml:space="preserve"> under paragraph 6 (or on any other date agreed by the parties).</w:t>
      </w:r>
    </w:p>
    <w:p w14:paraId="0F6FE766" w14:textId="77777777" w:rsidR="009530BC" w:rsidRPr="009530BC" w:rsidRDefault="009530BC" w:rsidP="006A200A">
      <w:pPr>
        <w:pStyle w:val="OutlinenumberedLevel1"/>
        <w:numPr>
          <w:ilvl w:val="0"/>
          <w:numId w:val="3"/>
        </w:numPr>
        <w:spacing w:before="0"/>
      </w:pPr>
      <w:r w:rsidRPr="009530BC">
        <w:t>PAYMENT</w:t>
      </w:r>
    </w:p>
    <w:p w14:paraId="530CFC49" w14:textId="77777777" w:rsidR="009530BC" w:rsidRPr="009530BC" w:rsidRDefault="009530BC" w:rsidP="006A200A">
      <w:pPr>
        <w:pStyle w:val="Heading2"/>
        <w:numPr>
          <w:ilvl w:val="0"/>
          <w:numId w:val="0"/>
        </w:numPr>
        <w:spacing w:after="200"/>
        <w:ind w:left="567"/>
        <w:rPr>
          <w:rFonts w:ascii="Arial" w:hAnsi="Arial" w:cs="Arial"/>
          <w:b/>
          <w:i/>
        </w:rPr>
      </w:pPr>
      <w:r w:rsidRPr="009530BC">
        <w:rPr>
          <w:rFonts w:ascii="Arial" w:hAnsi="Arial" w:cs="Arial"/>
        </w:rPr>
        <w:t>On settlement:</w:t>
      </w:r>
    </w:p>
    <w:p w14:paraId="34375A42" w14:textId="77777777" w:rsidR="009530BC" w:rsidRPr="009530BC" w:rsidRDefault="009530BC" w:rsidP="006A200A">
      <w:pPr>
        <w:pStyle w:val="OutlinenumberedLevel3"/>
        <w:numPr>
          <w:ilvl w:val="2"/>
          <w:numId w:val="3"/>
        </w:numPr>
        <w:spacing w:before="0"/>
      </w:pPr>
      <w:r w:rsidRPr="009530BC">
        <w:t xml:space="preserve">each accepting Offeree must pay the price for the </w:t>
      </w:r>
      <w:r w:rsidR="007F6337">
        <w:t>Shares</w:t>
      </w:r>
      <w:r w:rsidRPr="009530BC">
        <w:t xml:space="preserve"> purchased by them to the Proposing Transferor in immediately available, same day cleared funds without set-off or deduction; and</w:t>
      </w:r>
    </w:p>
    <w:p w14:paraId="4A8E525E" w14:textId="77777777" w:rsidR="009530BC" w:rsidRPr="009530BC" w:rsidRDefault="009530BC" w:rsidP="006A200A">
      <w:pPr>
        <w:pStyle w:val="OutlinenumberedLevel3"/>
        <w:numPr>
          <w:ilvl w:val="2"/>
          <w:numId w:val="3"/>
        </w:numPr>
        <w:spacing w:before="0"/>
      </w:pPr>
      <w:r w:rsidRPr="009530BC">
        <w:t xml:space="preserve">the Proposing Transferor must deliver to each Offeree a signed share transfer form and relevant share certificate (if any) for those </w:t>
      </w:r>
      <w:r w:rsidR="007F6337">
        <w:t>Shares</w:t>
      </w:r>
      <w:r w:rsidRPr="009530BC">
        <w:t>.</w:t>
      </w:r>
    </w:p>
    <w:p w14:paraId="50FAC96C" w14:textId="77777777" w:rsidR="009530BC" w:rsidRPr="009530BC" w:rsidRDefault="009530BC" w:rsidP="006A200A">
      <w:pPr>
        <w:pStyle w:val="OutlinenumberedLevel1"/>
        <w:numPr>
          <w:ilvl w:val="0"/>
          <w:numId w:val="3"/>
        </w:numPr>
        <w:spacing w:before="0"/>
      </w:pPr>
      <w:r w:rsidRPr="009530BC">
        <w:t>BOARD MAY EFFECT TRANSFER</w:t>
      </w:r>
    </w:p>
    <w:p w14:paraId="400E15F1" w14:textId="77777777" w:rsidR="009530BC" w:rsidRPr="009530BC" w:rsidRDefault="009530BC" w:rsidP="006A200A">
      <w:pPr>
        <w:pStyle w:val="Heading2"/>
        <w:numPr>
          <w:ilvl w:val="0"/>
          <w:numId w:val="0"/>
        </w:numPr>
        <w:spacing w:after="200"/>
        <w:ind w:left="567"/>
        <w:rPr>
          <w:rFonts w:ascii="Arial" w:hAnsi="Arial" w:cs="Arial"/>
          <w:b/>
          <w:i/>
        </w:rPr>
      </w:pPr>
      <w:r w:rsidRPr="009530BC">
        <w:rPr>
          <w:rFonts w:ascii="Arial" w:hAnsi="Arial" w:cs="Arial"/>
        </w:rPr>
        <w:t xml:space="preserve">If a Proposing Transferor defaults in transferring any Sale </w:t>
      </w:r>
      <w:r w:rsidR="007F6337">
        <w:rPr>
          <w:rFonts w:ascii="Arial" w:hAnsi="Arial" w:cs="Arial"/>
        </w:rPr>
        <w:t>Shares</w:t>
      </w:r>
      <w:r w:rsidRPr="009530BC">
        <w:rPr>
          <w:rFonts w:ascii="Arial" w:hAnsi="Arial" w:cs="Arial"/>
        </w:rPr>
        <w:t xml:space="preserve"> in accordance with this Schedule, the Company may execute a transfer of the relevant </w:t>
      </w:r>
      <w:r w:rsidR="007F6337">
        <w:rPr>
          <w:rFonts w:ascii="Arial" w:hAnsi="Arial" w:cs="Arial"/>
        </w:rPr>
        <w:t>Shares</w:t>
      </w:r>
      <w:r w:rsidRPr="009530BC">
        <w:rPr>
          <w:rFonts w:ascii="Arial" w:hAnsi="Arial" w:cs="Arial"/>
        </w:rPr>
        <w:t xml:space="preserve"> on behalf of the Proposing Transferor.  Subject to deduction of any amount in respect of which the Company has a lien over the </w:t>
      </w:r>
      <w:r w:rsidR="007F6337">
        <w:rPr>
          <w:rFonts w:ascii="Arial" w:hAnsi="Arial" w:cs="Arial"/>
        </w:rPr>
        <w:t>Shares</w:t>
      </w:r>
      <w:r w:rsidRPr="009530BC">
        <w:rPr>
          <w:rFonts w:ascii="Arial" w:hAnsi="Arial" w:cs="Arial"/>
        </w:rPr>
        <w:t xml:space="preserve">, the Company must hold the purchase price in trust for the Proposing Transferor.  The receipt of the Company will constitute a valid discharge of the purchase price and no question will be raised as to the title of any Offeree after entry of the name of the Offeree in the share register as the holder of the relevant </w:t>
      </w:r>
      <w:r w:rsidR="007F6337">
        <w:rPr>
          <w:rFonts w:ascii="Arial" w:hAnsi="Arial" w:cs="Arial"/>
        </w:rPr>
        <w:t>Shares</w:t>
      </w:r>
      <w:r w:rsidRPr="009530BC">
        <w:rPr>
          <w:rFonts w:ascii="Arial" w:hAnsi="Arial" w:cs="Arial"/>
        </w:rPr>
        <w:t>.</w:t>
      </w:r>
    </w:p>
    <w:p w14:paraId="776C92FE" w14:textId="77777777" w:rsidR="009530BC" w:rsidRPr="009530BC" w:rsidRDefault="009530BC" w:rsidP="006A200A">
      <w:pPr>
        <w:pStyle w:val="OutlinenumberedLevel1"/>
        <w:numPr>
          <w:ilvl w:val="0"/>
          <w:numId w:val="3"/>
        </w:numPr>
        <w:spacing w:before="0"/>
        <w:rPr>
          <w:rFonts w:eastAsia="MS Mincho"/>
        </w:rPr>
      </w:pPr>
      <w:r w:rsidRPr="009530BC">
        <w:t>PROPOSING TRANSFEROR’S RIGHT TO SELL</w:t>
      </w:r>
    </w:p>
    <w:p w14:paraId="59B702A9" w14:textId="4CC21152" w:rsidR="009530BC" w:rsidRDefault="009530BC" w:rsidP="006A200A">
      <w:pPr>
        <w:pStyle w:val="Heading2"/>
        <w:numPr>
          <w:ilvl w:val="0"/>
          <w:numId w:val="0"/>
        </w:numPr>
        <w:spacing w:after="200"/>
        <w:ind w:left="567"/>
        <w:rPr>
          <w:rFonts w:ascii="Arial" w:hAnsi="Arial" w:cs="Arial"/>
        </w:rPr>
      </w:pPr>
      <w:r w:rsidRPr="009530BC">
        <w:rPr>
          <w:rFonts w:ascii="Arial" w:hAnsi="Arial" w:cs="Arial"/>
        </w:rPr>
        <w:t xml:space="preserve">If no acceptance notices are received, or if acceptance notices are received which do not contain acceptances for all of the Sale </w:t>
      </w:r>
      <w:r w:rsidR="007F6337">
        <w:rPr>
          <w:rFonts w:ascii="Arial" w:hAnsi="Arial" w:cs="Arial"/>
        </w:rPr>
        <w:t>Shares</w:t>
      </w:r>
      <w:r w:rsidRPr="009530BC">
        <w:rPr>
          <w:rFonts w:ascii="Arial" w:hAnsi="Arial" w:cs="Arial"/>
        </w:rPr>
        <w:t xml:space="preserve">, then subject to </w:t>
      </w:r>
      <w:r w:rsidR="00577A00">
        <w:rPr>
          <w:rFonts w:ascii="Arial" w:hAnsi="Arial" w:cs="Arial"/>
        </w:rPr>
        <w:t xml:space="preserve">the </w:t>
      </w:r>
      <w:r w:rsidR="00D145D3">
        <w:rPr>
          <w:rFonts w:ascii="Arial" w:hAnsi="Arial" w:cs="Arial"/>
        </w:rPr>
        <w:t>Constitution</w:t>
      </w:r>
      <w:r w:rsidR="00577A00">
        <w:rPr>
          <w:rFonts w:ascii="Arial" w:hAnsi="Arial" w:cs="Arial"/>
        </w:rPr>
        <w:t xml:space="preserve"> </w:t>
      </w:r>
      <w:r w:rsidR="00256203">
        <w:rPr>
          <w:rFonts w:ascii="Arial" w:hAnsi="Arial" w:cs="Arial"/>
        </w:rPr>
        <w:t xml:space="preserve">and to clause </w:t>
      </w:r>
      <w:r w:rsidR="00866215">
        <w:rPr>
          <w:rFonts w:ascii="Arial" w:hAnsi="Arial" w:cs="Arial"/>
        </w:rPr>
        <w:fldChar w:fldCharType="begin"/>
      </w:r>
      <w:r w:rsidR="00866215">
        <w:rPr>
          <w:rFonts w:ascii="Arial" w:hAnsi="Arial" w:cs="Arial"/>
        </w:rPr>
        <w:instrText xml:space="preserve"> REF _Ref455235961 \w \h </w:instrText>
      </w:r>
      <w:r w:rsidR="00866215">
        <w:rPr>
          <w:rFonts w:ascii="Arial" w:hAnsi="Arial" w:cs="Arial"/>
        </w:rPr>
      </w:r>
      <w:r w:rsidR="00866215">
        <w:rPr>
          <w:rFonts w:ascii="Arial" w:hAnsi="Arial" w:cs="Arial"/>
        </w:rPr>
        <w:fldChar w:fldCharType="separate"/>
      </w:r>
      <w:r w:rsidR="007E5370">
        <w:rPr>
          <w:rFonts w:ascii="Arial" w:hAnsi="Arial" w:cs="Arial"/>
        </w:rPr>
        <w:t>8.4</w:t>
      </w:r>
      <w:r w:rsidR="00866215">
        <w:rPr>
          <w:rFonts w:ascii="Arial" w:hAnsi="Arial" w:cs="Arial"/>
        </w:rPr>
        <w:fldChar w:fldCharType="end"/>
      </w:r>
      <w:r w:rsidR="00256203">
        <w:rPr>
          <w:rFonts w:ascii="Arial" w:hAnsi="Arial" w:cs="Arial"/>
        </w:rPr>
        <w:t xml:space="preserve"> </w:t>
      </w:r>
      <w:r w:rsidRPr="009530BC">
        <w:rPr>
          <w:rFonts w:ascii="Arial" w:hAnsi="Arial" w:cs="Arial"/>
        </w:rPr>
        <w:t xml:space="preserve">the Proposing Transferor may, within 60 </w:t>
      </w:r>
      <w:r w:rsidR="00256203">
        <w:rPr>
          <w:rFonts w:ascii="Arial" w:hAnsi="Arial" w:cs="Arial"/>
        </w:rPr>
        <w:t>Business Day</w:t>
      </w:r>
      <w:r w:rsidRPr="009530BC">
        <w:rPr>
          <w:rFonts w:ascii="Arial" w:hAnsi="Arial" w:cs="Arial"/>
        </w:rPr>
        <w:t xml:space="preserve">s of the date specified by the Board in its notice under paragraph 3c, sell or transfer all of the Sale Shares (but not part only) to a third party at a price which is not less than the Proposed Sale Price and otherwise on terms no more favourable to that third party than the terms offered to the Shareholders in the Proposing Transferor’s Transfer Notice. </w:t>
      </w:r>
    </w:p>
    <w:p w14:paraId="16349A2D" w14:textId="77777777" w:rsidR="00C131B6" w:rsidRDefault="00C131B6" w:rsidP="006A200A">
      <w:pPr>
        <w:pStyle w:val="Heading2"/>
        <w:numPr>
          <w:ilvl w:val="0"/>
          <w:numId w:val="0"/>
        </w:numPr>
        <w:spacing w:after="200"/>
        <w:ind w:left="567"/>
        <w:rPr>
          <w:rFonts w:ascii="Arial" w:hAnsi="Arial" w:cs="Arial"/>
        </w:rPr>
      </w:pPr>
    </w:p>
    <w:p w14:paraId="1B500F50" w14:textId="7B0B68B1" w:rsidR="00C131B6" w:rsidRDefault="00C131B6">
      <w:pPr>
        <w:tabs>
          <w:tab w:val="clear" w:pos="567"/>
        </w:tabs>
        <w:spacing w:after="0" w:line="240" w:lineRule="auto"/>
        <w:rPr>
          <w:rFonts w:cs="Arial"/>
          <w:lang w:val="en-GB" w:eastAsia="en-US"/>
        </w:rPr>
      </w:pPr>
      <w:r>
        <w:rPr>
          <w:rFonts w:cs="Arial"/>
        </w:rPr>
        <w:br w:type="page"/>
      </w:r>
    </w:p>
    <w:p w14:paraId="7FBC3EEA" w14:textId="77777777" w:rsidR="00C131B6" w:rsidRPr="009530BC" w:rsidRDefault="00C131B6" w:rsidP="006A200A">
      <w:pPr>
        <w:pStyle w:val="Heading2"/>
        <w:numPr>
          <w:ilvl w:val="0"/>
          <w:numId w:val="0"/>
        </w:numPr>
        <w:spacing w:after="200"/>
        <w:ind w:left="567"/>
        <w:rPr>
          <w:rFonts w:ascii="Arial" w:eastAsia="MS Mincho" w:hAnsi="Arial" w:cs="Arial"/>
          <w:i/>
        </w:rPr>
        <w:sectPr w:rsidR="00C131B6" w:rsidRPr="009530BC" w:rsidSect="00A06A24">
          <w:type w:val="continuous"/>
          <w:pgSz w:w="11906" w:h="16838" w:code="9"/>
          <w:pgMar w:top="1440" w:right="1440" w:bottom="1440" w:left="1440" w:header="709" w:footer="709" w:gutter="0"/>
          <w:cols w:space="708"/>
          <w:docGrid w:linePitch="360"/>
        </w:sectPr>
      </w:pPr>
    </w:p>
    <w:p w14:paraId="69683F69" w14:textId="77777777" w:rsidR="009530BC" w:rsidRPr="009530BC" w:rsidRDefault="009530BC" w:rsidP="006A200A">
      <w:pPr>
        <w:ind w:left="567"/>
        <w:jc w:val="center"/>
        <w:rPr>
          <w:rFonts w:cs="Arial"/>
          <w:color w:val="C00000"/>
        </w:rPr>
      </w:pPr>
      <w:r w:rsidRPr="009530BC">
        <w:rPr>
          <w:rFonts w:ascii="Arial Black" w:hAnsi="Arial Black"/>
          <w:color w:val="C00000"/>
          <w:lang w:eastAsia="en-US"/>
        </w:rPr>
        <w:lastRenderedPageBreak/>
        <w:t xml:space="preserve">SCHEDULE </w:t>
      </w:r>
      <w:r w:rsidR="00B20860">
        <w:rPr>
          <w:rFonts w:ascii="Arial Black" w:hAnsi="Arial Black"/>
          <w:color w:val="C00000"/>
          <w:lang w:eastAsia="en-US"/>
        </w:rPr>
        <w:t>5</w:t>
      </w:r>
    </w:p>
    <w:p w14:paraId="5F5586B2" w14:textId="77777777" w:rsidR="009530BC" w:rsidRPr="009530BC" w:rsidRDefault="00A019A6" w:rsidP="006A200A">
      <w:pPr>
        <w:ind w:left="567"/>
        <w:jc w:val="center"/>
        <w:rPr>
          <w:rFonts w:cs="Arial"/>
          <w:b/>
        </w:rPr>
      </w:pPr>
      <w:bookmarkStart w:id="109" w:name="_Toc378254072"/>
      <w:r>
        <w:rPr>
          <w:rFonts w:cs="Arial"/>
          <w:b/>
        </w:rPr>
        <w:t>Co-sale</w:t>
      </w:r>
      <w:r w:rsidR="009530BC" w:rsidRPr="009530BC">
        <w:rPr>
          <w:rFonts w:cs="Arial"/>
          <w:b/>
        </w:rPr>
        <w:t xml:space="preserve"> and drag-along rights</w:t>
      </w:r>
      <w:bookmarkEnd w:id="109"/>
    </w:p>
    <w:p w14:paraId="6F1D358D" w14:textId="77777777" w:rsidR="009530BC" w:rsidRPr="009530BC" w:rsidRDefault="009530BC" w:rsidP="006A200A">
      <w:pPr>
        <w:pStyle w:val="OutlinenumberedLevel1"/>
        <w:numPr>
          <w:ilvl w:val="0"/>
          <w:numId w:val="12"/>
        </w:numPr>
        <w:spacing w:before="0"/>
      </w:pPr>
      <w:r w:rsidRPr="009530BC">
        <w:t>50% SALE</w:t>
      </w:r>
    </w:p>
    <w:p w14:paraId="4E9C48B9" w14:textId="77777777" w:rsidR="009530BC" w:rsidRPr="009530BC" w:rsidRDefault="009530BC" w:rsidP="006A200A">
      <w:pPr>
        <w:pStyle w:val="Heading2"/>
        <w:numPr>
          <w:ilvl w:val="0"/>
          <w:numId w:val="0"/>
        </w:numPr>
        <w:spacing w:after="200"/>
        <w:ind w:left="567"/>
        <w:rPr>
          <w:rFonts w:ascii="Arial" w:hAnsi="Arial" w:cs="Arial"/>
          <w:b/>
          <w:caps/>
        </w:rPr>
      </w:pPr>
      <w:r w:rsidRPr="009530BC">
        <w:rPr>
          <w:rFonts w:ascii="Arial" w:hAnsi="Arial" w:cs="Arial"/>
        </w:rPr>
        <w:t>If one or more Shareholders (</w:t>
      </w:r>
      <w:r w:rsidRPr="00256203">
        <w:rPr>
          <w:rFonts w:ascii="Arial" w:hAnsi="Arial" w:cs="Arial"/>
          <w:b/>
        </w:rPr>
        <w:t>Seller</w:t>
      </w:r>
      <w:r w:rsidRPr="009530BC">
        <w:rPr>
          <w:rFonts w:ascii="Arial" w:hAnsi="Arial" w:cs="Arial"/>
        </w:rPr>
        <w:t xml:space="preserve">) wishes, in one transaction or a series of linked transactions, to transfer Shares in the Company carrying 50% </w:t>
      </w:r>
      <w:r w:rsidR="00AF46F5">
        <w:rPr>
          <w:rFonts w:ascii="Arial" w:hAnsi="Arial" w:cs="Arial"/>
        </w:rPr>
        <w:t xml:space="preserve">or more </w:t>
      </w:r>
      <w:r w:rsidRPr="009530BC">
        <w:rPr>
          <w:rFonts w:ascii="Arial" w:hAnsi="Arial" w:cs="Arial"/>
        </w:rPr>
        <w:t>of the Voting Rights (</w:t>
      </w:r>
      <w:r w:rsidRPr="00256203">
        <w:rPr>
          <w:rFonts w:ascii="Arial" w:hAnsi="Arial" w:cs="Arial"/>
          <w:b/>
        </w:rPr>
        <w:t>Sale Shares</w:t>
      </w:r>
      <w:r w:rsidRPr="009530BC">
        <w:rPr>
          <w:rFonts w:ascii="Arial" w:hAnsi="Arial" w:cs="Arial"/>
        </w:rPr>
        <w:t>) to any other person (</w:t>
      </w:r>
      <w:r w:rsidRPr="00256203">
        <w:rPr>
          <w:rFonts w:ascii="Arial" w:hAnsi="Arial" w:cs="Arial"/>
          <w:b/>
        </w:rPr>
        <w:t>Third Party</w:t>
      </w:r>
      <w:r w:rsidRPr="009530BC">
        <w:rPr>
          <w:rFonts w:ascii="Arial" w:hAnsi="Arial" w:cs="Arial"/>
        </w:rPr>
        <w:t>) then:</w:t>
      </w:r>
    </w:p>
    <w:p w14:paraId="5C9ECDA0" w14:textId="77777777" w:rsidR="009530BC" w:rsidRPr="009530BC" w:rsidRDefault="009530BC" w:rsidP="006A200A">
      <w:pPr>
        <w:pStyle w:val="OutlinenumberedLevel3"/>
        <w:numPr>
          <w:ilvl w:val="2"/>
          <w:numId w:val="3"/>
        </w:numPr>
        <w:spacing w:before="0"/>
        <w:rPr>
          <w:b/>
          <w:lang w:eastAsia="en-AU"/>
        </w:rPr>
      </w:pPr>
      <w:r w:rsidRPr="009530BC">
        <w:rPr>
          <w:lang w:eastAsia="en-AU"/>
        </w:rPr>
        <w:t>the Seller must give a notice to the Company and the other Shareholders of their intention, which must specify the terms of the proposed transfer including the price to be paid for the Shares (</w:t>
      </w:r>
      <w:r w:rsidRPr="009530BC">
        <w:rPr>
          <w:b/>
          <w:lang w:eastAsia="en-AU"/>
        </w:rPr>
        <w:t>Substantial Sale Notice</w:t>
      </w:r>
      <w:r w:rsidRPr="009530BC">
        <w:rPr>
          <w:lang w:eastAsia="en-AU"/>
        </w:rPr>
        <w:t>); and</w:t>
      </w:r>
    </w:p>
    <w:p w14:paraId="53436CF5" w14:textId="10B08A4A" w:rsidR="009530BC" w:rsidRPr="009530BC" w:rsidRDefault="009530BC" w:rsidP="006A200A">
      <w:pPr>
        <w:pStyle w:val="OutlinenumberedLevel3"/>
        <w:numPr>
          <w:ilvl w:val="2"/>
          <w:numId w:val="3"/>
        </w:numPr>
        <w:spacing w:before="0"/>
        <w:rPr>
          <w:b/>
        </w:rPr>
      </w:pPr>
      <w:r w:rsidRPr="009530BC">
        <w:rPr>
          <w:lang w:eastAsia="en-AU"/>
        </w:rPr>
        <w:t xml:space="preserve">if the Sale Shares constitute Shares in the Company carrying </w:t>
      </w:r>
      <w:r w:rsidR="00D86C1D">
        <w:rPr>
          <w:lang w:eastAsia="en-AU"/>
        </w:rPr>
        <w:t>[</w:t>
      </w:r>
      <w:r w:rsidR="00EA77CE" w:rsidRPr="00D86C1D">
        <w:rPr>
          <w:i/>
          <w:lang w:eastAsia="en-AU"/>
        </w:rPr>
        <w:t>75</w:t>
      </w:r>
      <w:r w:rsidR="00D86C1D" w:rsidRPr="00D86C1D">
        <w:rPr>
          <w:lang w:eastAsia="en-AU"/>
        </w:rPr>
        <w:t>]</w:t>
      </w:r>
      <w:r w:rsidR="007B7F81">
        <w:rPr>
          <w:lang w:eastAsia="en-AU"/>
        </w:rPr>
        <w:t>%</w:t>
      </w:r>
      <w:r w:rsidRPr="009530BC">
        <w:rPr>
          <w:lang w:eastAsia="en-AU"/>
        </w:rPr>
        <w:t xml:space="preserve"> or more of the Voting Rights, the Seller has the option to require in the Substantial Sale Notice all of the other Shareholders (</w:t>
      </w:r>
      <w:r w:rsidRPr="009530BC">
        <w:rPr>
          <w:b/>
          <w:lang w:eastAsia="en-AU"/>
        </w:rPr>
        <w:t>Remaining Shareholders</w:t>
      </w:r>
      <w:r w:rsidRPr="009530BC">
        <w:rPr>
          <w:lang w:eastAsia="en-AU"/>
        </w:rPr>
        <w:t>) to transfer to the Third Party all of the Shares held by the Remaining Shareholders (</w:t>
      </w:r>
      <w:r w:rsidRPr="009530BC">
        <w:rPr>
          <w:b/>
          <w:lang w:eastAsia="en-AU"/>
        </w:rPr>
        <w:t>Drag-Along Shares</w:t>
      </w:r>
      <w:r w:rsidRPr="009530BC">
        <w:rPr>
          <w:lang w:eastAsia="en-AU"/>
        </w:rPr>
        <w:t>) in accordance with paragraph 2 (</w:t>
      </w:r>
      <w:r w:rsidRPr="009530BC">
        <w:rPr>
          <w:b/>
          <w:lang w:eastAsia="en-AU"/>
        </w:rPr>
        <w:t>Drag-Along Option</w:t>
      </w:r>
      <w:r w:rsidRPr="009530BC">
        <w:rPr>
          <w:lang w:eastAsia="en-AU"/>
        </w:rPr>
        <w:t>).</w:t>
      </w:r>
    </w:p>
    <w:p w14:paraId="5CB7DA2E" w14:textId="50D124E5" w:rsidR="009530BC" w:rsidRPr="009530BC" w:rsidRDefault="00EA77CE" w:rsidP="006A200A">
      <w:pPr>
        <w:pStyle w:val="OutlinenumberedLevel1"/>
        <w:numPr>
          <w:ilvl w:val="0"/>
          <w:numId w:val="3"/>
        </w:numPr>
        <w:spacing w:before="0"/>
      </w:pPr>
      <w:r>
        <w:t>DRAG-ALONG (</w:t>
      </w:r>
      <w:r w:rsidR="00D86C1D">
        <w:t>[</w:t>
      </w:r>
      <w:r w:rsidRPr="00D86C1D">
        <w:rPr>
          <w:i/>
        </w:rPr>
        <w:t>75</w:t>
      </w:r>
      <w:r w:rsidR="00D86C1D" w:rsidRPr="00D86C1D">
        <w:t>]</w:t>
      </w:r>
      <w:r w:rsidR="009530BC" w:rsidRPr="009530BC">
        <w:t>% SALE)</w:t>
      </w:r>
    </w:p>
    <w:p w14:paraId="1439F520" w14:textId="77777777" w:rsidR="009530BC" w:rsidRPr="009530BC" w:rsidRDefault="009530BC" w:rsidP="006A200A">
      <w:pPr>
        <w:ind w:left="567"/>
        <w:rPr>
          <w:rFonts w:cs="Arial"/>
          <w:b/>
        </w:rPr>
      </w:pPr>
      <w:r w:rsidRPr="009530BC">
        <w:rPr>
          <w:rFonts w:cs="Arial"/>
        </w:rPr>
        <w:t>If a Seller exercises the Drag-Along Option in a Substantial Sale Notice:</w:t>
      </w:r>
    </w:p>
    <w:p w14:paraId="0E7D7B02" w14:textId="77777777" w:rsidR="009530BC" w:rsidRPr="009530BC" w:rsidRDefault="009530BC" w:rsidP="006A200A">
      <w:pPr>
        <w:pStyle w:val="OutlinenumberedLevel3"/>
        <w:numPr>
          <w:ilvl w:val="2"/>
          <w:numId w:val="3"/>
        </w:numPr>
        <w:spacing w:before="0"/>
        <w:rPr>
          <w:b/>
        </w:rPr>
      </w:pPr>
      <w:r w:rsidRPr="009530BC">
        <w:t>the Seller will be bound to cause the Drag-Along Shares to be purchased by the Third Party upon the sale of the Seller’s Shares at the price per Share to be paid by the Third Party to the Seller in respect of the Seller’s Shares and otherwise on the same terms applicable to that sale (</w:t>
      </w:r>
      <w:r w:rsidRPr="009530BC">
        <w:rPr>
          <w:b/>
        </w:rPr>
        <w:t>Drag-Along Price</w:t>
      </w:r>
      <w:r w:rsidRPr="009530BC">
        <w:t>);</w:t>
      </w:r>
    </w:p>
    <w:p w14:paraId="7EE4BFE8" w14:textId="77777777" w:rsidR="009530BC" w:rsidRPr="009530BC" w:rsidRDefault="009530BC" w:rsidP="006A200A">
      <w:pPr>
        <w:pStyle w:val="OutlinenumberedLevel3"/>
        <w:numPr>
          <w:ilvl w:val="2"/>
          <w:numId w:val="3"/>
        </w:numPr>
        <w:spacing w:before="0"/>
        <w:rPr>
          <w:b/>
        </w:rPr>
      </w:pPr>
      <w:r w:rsidRPr="009530BC">
        <w:t>each of the Remaining Shareholders will be bound to sell their Drag-Along Shares to the Third Party at the Drag-Along Price;</w:t>
      </w:r>
    </w:p>
    <w:p w14:paraId="28A332B9" w14:textId="77777777" w:rsidR="009530BC" w:rsidRPr="009530BC" w:rsidRDefault="009530BC" w:rsidP="006A200A">
      <w:pPr>
        <w:pStyle w:val="OutlinenumberedLevel3"/>
        <w:numPr>
          <w:ilvl w:val="2"/>
          <w:numId w:val="3"/>
        </w:numPr>
        <w:spacing w:before="0"/>
        <w:rPr>
          <w:b/>
        </w:rPr>
      </w:pPr>
      <w:r w:rsidRPr="009530BC">
        <w:t>the Substantial Sale Notice constitutes the Seller as agent of each Remaining Shareholder with full power and authority to do all things necessary to transfer all of the Drag-Along Shares in accordance with this paragraph;</w:t>
      </w:r>
    </w:p>
    <w:p w14:paraId="17DDBE66" w14:textId="77777777" w:rsidR="009530BC" w:rsidRPr="009530BC" w:rsidRDefault="009530BC" w:rsidP="006A200A">
      <w:pPr>
        <w:pStyle w:val="OutlinenumberedLevel3"/>
        <w:numPr>
          <w:ilvl w:val="2"/>
          <w:numId w:val="3"/>
        </w:numPr>
        <w:spacing w:before="0"/>
        <w:rPr>
          <w:b/>
        </w:rPr>
      </w:pPr>
      <w:r w:rsidRPr="009530BC">
        <w:t>the Substantial Sale Notice, once given, is irrevocable but both the notice and all obligations arising from it will lapse if for any reason the Seller does not, prior to or simultaneously with the transfer of the Drag-Along Shares, transfer all of its Shares to the Third Party; and</w:t>
      </w:r>
    </w:p>
    <w:p w14:paraId="30DE04B4" w14:textId="77777777" w:rsidR="009530BC" w:rsidRPr="009530BC" w:rsidRDefault="009530BC" w:rsidP="006A200A">
      <w:pPr>
        <w:pStyle w:val="OutlinenumberedLevel3"/>
        <w:numPr>
          <w:ilvl w:val="2"/>
          <w:numId w:val="3"/>
        </w:numPr>
        <w:spacing w:before="0"/>
        <w:rPr>
          <w:b/>
        </w:rPr>
      </w:pPr>
      <w:r w:rsidRPr="009530BC">
        <w:t>completion of the sale of the Drag-Along Shares will take place on the date of completion of the sale of the Seller’s Shares, unless in the case of the sale by any particular Remaining Shareholder, that Remaining Shareholder and the Seller agree otherwise.</w:t>
      </w:r>
    </w:p>
    <w:p w14:paraId="50674954" w14:textId="77777777" w:rsidR="009530BC" w:rsidRPr="009530BC" w:rsidRDefault="00A019A6" w:rsidP="006A200A">
      <w:pPr>
        <w:pStyle w:val="OutlinenumberedLevel1"/>
        <w:numPr>
          <w:ilvl w:val="0"/>
          <w:numId w:val="3"/>
        </w:numPr>
        <w:spacing w:before="0"/>
        <w:rPr>
          <w:b w:val="0"/>
          <w:caps/>
        </w:rPr>
      </w:pPr>
      <w:r>
        <w:rPr>
          <w:b w:val="0"/>
          <w:caps/>
        </w:rPr>
        <w:lastRenderedPageBreak/>
        <w:t>CO</w:t>
      </w:r>
      <w:r>
        <w:rPr>
          <w:b w:val="0"/>
        </w:rPr>
        <w:t>-SALE</w:t>
      </w:r>
      <w:r w:rsidR="009530BC" w:rsidRPr="009530BC">
        <w:rPr>
          <w:b w:val="0"/>
          <w:caps/>
        </w:rPr>
        <w:t xml:space="preserve"> (50% sale)</w:t>
      </w:r>
    </w:p>
    <w:p w14:paraId="2574F07C" w14:textId="4525F0AD" w:rsidR="009530BC" w:rsidRPr="009530BC" w:rsidRDefault="009530BC" w:rsidP="006A200A">
      <w:pPr>
        <w:ind w:left="567"/>
        <w:rPr>
          <w:rFonts w:cs="Arial"/>
          <w:b/>
        </w:rPr>
      </w:pPr>
      <w:r w:rsidRPr="009530BC">
        <w:rPr>
          <w:rFonts w:cs="Arial"/>
        </w:rPr>
        <w:t xml:space="preserve">If a Seller does not or (because the number of Shares being sold carry less than </w:t>
      </w:r>
      <w:r w:rsidR="00D86C1D">
        <w:rPr>
          <w:rFonts w:cs="Arial"/>
        </w:rPr>
        <w:t>[</w:t>
      </w:r>
      <w:r w:rsidR="00256203" w:rsidRPr="00D86C1D">
        <w:rPr>
          <w:rFonts w:cs="Arial"/>
          <w:i/>
        </w:rPr>
        <w:t>75</w:t>
      </w:r>
      <w:r w:rsidR="00D86C1D">
        <w:rPr>
          <w:rFonts w:cs="Arial"/>
        </w:rPr>
        <w:t>]</w:t>
      </w:r>
      <w:r w:rsidR="007B7F81">
        <w:rPr>
          <w:rFonts w:cs="Arial"/>
        </w:rPr>
        <w:t>%</w:t>
      </w:r>
      <w:r w:rsidRPr="009530BC">
        <w:rPr>
          <w:rFonts w:cs="Arial"/>
        </w:rPr>
        <w:t xml:space="preserve"> of the Voting Rights) cannot exercise its Drag-Along Option in a Substantial Sale Notice, each of the other Shareholders (</w:t>
      </w:r>
      <w:r w:rsidRPr="009530BC">
        <w:rPr>
          <w:rFonts w:cs="Arial"/>
          <w:b/>
        </w:rPr>
        <w:t>Remaining Shareholder</w:t>
      </w:r>
      <w:r w:rsidRPr="009530BC">
        <w:rPr>
          <w:rFonts w:cs="Arial"/>
        </w:rPr>
        <w:t>) will have the option (</w:t>
      </w:r>
      <w:r w:rsidR="00A019A6">
        <w:rPr>
          <w:rFonts w:cs="Arial"/>
          <w:b/>
        </w:rPr>
        <w:t>Co-Sale</w:t>
      </w:r>
      <w:r w:rsidRPr="009530BC">
        <w:rPr>
          <w:rFonts w:cs="Arial"/>
          <w:b/>
        </w:rPr>
        <w:t xml:space="preserve"> Option</w:t>
      </w:r>
      <w:r w:rsidRPr="009530BC">
        <w:rPr>
          <w:rFonts w:cs="Arial"/>
        </w:rPr>
        <w:t>) to require the Seller to cause the Third Party or its nominee to purchase all of the Remaining Shareholder’s Shares (</w:t>
      </w:r>
      <w:r w:rsidR="00A019A6">
        <w:rPr>
          <w:rFonts w:cs="Arial"/>
          <w:b/>
        </w:rPr>
        <w:t>Co-Sale</w:t>
      </w:r>
      <w:r w:rsidRPr="009530BC">
        <w:rPr>
          <w:rFonts w:cs="Arial"/>
          <w:b/>
        </w:rPr>
        <w:t xml:space="preserve"> Shares</w:t>
      </w:r>
      <w:r w:rsidRPr="009530BC">
        <w:rPr>
          <w:rFonts w:cs="Arial"/>
        </w:rPr>
        <w:t>)</w:t>
      </w:r>
      <w:r w:rsidR="00256203">
        <w:rPr>
          <w:rFonts w:cs="Arial"/>
        </w:rPr>
        <w:t xml:space="preserve"> on the following terms</w:t>
      </w:r>
      <w:r w:rsidRPr="009530BC">
        <w:rPr>
          <w:rFonts w:cs="Arial"/>
        </w:rPr>
        <w:t>:</w:t>
      </w:r>
    </w:p>
    <w:p w14:paraId="123A9E24" w14:textId="77777777" w:rsidR="009530BC" w:rsidRPr="009530BC" w:rsidRDefault="009530BC" w:rsidP="006A200A">
      <w:pPr>
        <w:pStyle w:val="OutlinenumberedLevel3"/>
        <w:numPr>
          <w:ilvl w:val="2"/>
          <w:numId w:val="5"/>
        </w:numPr>
        <w:spacing w:before="0"/>
        <w:rPr>
          <w:b/>
        </w:rPr>
      </w:pPr>
      <w:r w:rsidRPr="009530BC">
        <w:t xml:space="preserve">a Remaining Shareholder may only exercise the </w:t>
      </w:r>
      <w:r w:rsidR="00A019A6">
        <w:t>Co-Sale</w:t>
      </w:r>
      <w:r w:rsidRPr="009530BC">
        <w:t xml:space="preserve"> Option by giving written notice (</w:t>
      </w:r>
      <w:r w:rsidR="00A019A6">
        <w:rPr>
          <w:b/>
        </w:rPr>
        <w:t>Co-Sale</w:t>
      </w:r>
      <w:r w:rsidRPr="009530BC">
        <w:rPr>
          <w:b/>
        </w:rPr>
        <w:t xml:space="preserve"> Notice</w:t>
      </w:r>
      <w:r w:rsidRPr="009530BC">
        <w:t xml:space="preserve">) to the Seller within 10 </w:t>
      </w:r>
      <w:r w:rsidR="00256203">
        <w:t>Business Day</w:t>
      </w:r>
      <w:r w:rsidRPr="009530BC">
        <w:t>s after the date on which the Substantial Sale Notice is given;</w:t>
      </w:r>
    </w:p>
    <w:p w14:paraId="6DD17D6D" w14:textId="77777777" w:rsidR="009530BC" w:rsidRPr="009530BC" w:rsidRDefault="00A019A6" w:rsidP="006A200A">
      <w:pPr>
        <w:pStyle w:val="OutlinenumberedLevel3"/>
        <w:numPr>
          <w:ilvl w:val="2"/>
          <w:numId w:val="3"/>
        </w:numPr>
        <w:spacing w:before="0"/>
        <w:rPr>
          <w:b/>
        </w:rPr>
      </w:pPr>
      <w:r>
        <w:t>a Co-Sale</w:t>
      </w:r>
      <w:r w:rsidR="009530BC" w:rsidRPr="009530BC">
        <w:t xml:space="preserve"> Notice must be for all of the Remaining Shareholder’s Shares (</w:t>
      </w:r>
      <w:r>
        <w:rPr>
          <w:b/>
        </w:rPr>
        <w:t>Co-Sale</w:t>
      </w:r>
      <w:r w:rsidR="009530BC" w:rsidRPr="009530BC">
        <w:rPr>
          <w:b/>
        </w:rPr>
        <w:t xml:space="preserve"> Shares</w:t>
      </w:r>
      <w:r w:rsidR="009530BC" w:rsidRPr="009530BC">
        <w:t xml:space="preserve">) and, once given, is irrevocable but both the notice and all obligations arising from it will lapse if for any reason the sale of the Seller’s Shares to the Third Party does not proceed; </w:t>
      </w:r>
    </w:p>
    <w:p w14:paraId="18C5C133" w14:textId="77777777" w:rsidR="009530BC" w:rsidRPr="009530BC" w:rsidRDefault="009530BC" w:rsidP="006A200A">
      <w:pPr>
        <w:pStyle w:val="OutlinenumberedLevel3"/>
        <w:numPr>
          <w:ilvl w:val="2"/>
          <w:numId w:val="3"/>
        </w:numPr>
        <w:spacing w:before="0"/>
        <w:rPr>
          <w:b/>
        </w:rPr>
      </w:pPr>
      <w:r w:rsidRPr="009530BC">
        <w:t xml:space="preserve">upon the exercise of the </w:t>
      </w:r>
      <w:r w:rsidR="00A019A6">
        <w:t>Co-Sale</w:t>
      </w:r>
      <w:r w:rsidRPr="009530BC">
        <w:t xml:space="preserve"> Option in accordance with this paragraph:</w:t>
      </w:r>
    </w:p>
    <w:p w14:paraId="75918C14" w14:textId="77777777" w:rsidR="009530BC" w:rsidRPr="009530BC" w:rsidRDefault="009530BC" w:rsidP="006A200A">
      <w:pPr>
        <w:pStyle w:val="OutlinenumberedLevel4"/>
        <w:numPr>
          <w:ilvl w:val="3"/>
          <w:numId w:val="3"/>
        </w:numPr>
        <w:spacing w:before="0"/>
        <w:rPr>
          <w:b/>
        </w:rPr>
      </w:pPr>
      <w:r w:rsidRPr="009530BC">
        <w:t xml:space="preserve">the Seller will be bound to take all reasonable steps to cause the </w:t>
      </w:r>
      <w:r w:rsidR="00A019A6">
        <w:t>Co-Sale</w:t>
      </w:r>
      <w:r w:rsidRPr="009530BC">
        <w:t xml:space="preserve"> Shares to be purchased by the Third Party for the price per Share to be paid by the Third Party to the Seller for its Shares and otherwise on terms no less favourable to those applicable to that sale (</w:t>
      </w:r>
      <w:r w:rsidR="00A019A6">
        <w:rPr>
          <w:b/>
        </w:rPr>
        <w:t>Co-Sale</w:t>
      </w:r>
      <w:r w:rsidRPr="009530BC">
        <w:rPr>
          <w:b/>
        </w:rPr>
        <w:t xml:space="preserve"> Price</w:t>
      </w:r>
      <w:r w:rsidRPr="009530BC">
        <w:t>); and</w:t>
      </w:r>
    </w:p>
    <w:p w14:paraId="6BB7D133" w14:textId="77777777" w:rsidR="009530BC" w:rsidRPr="009530BC" w:rsidRDefault="009530BC" w:rsidP="006A200A">
      <w:pPr>
        <w:pStyle w:val="OutlinenumberedLevel4"/>
        <w:numPr>
          <w:ilvl w:val="3"/>
          <w:numId w:val="3"/>
        </w:numPr>
        <w:spacing w:before="0"/>
      </w:pPr>
      <w:r w:rsidRPr="009530BC">
        <w:t xml:space="preserve">the Remaining Shareholders will be bound to sell their </w:t>
      </w:r>
      <w:r w:rsidR="00A019A6">
        <w:t>Co-Sale</w:t>
      </w:r>
      <w:r w:rsidRPr="009530BC">
        <w:t xml:space="preserve"> Shares to the Third Party at the </w:t>
      </w:r>
      <w:r w:rsidR="00A019A6">
        <w:t>Co-Sale</w:t>
      </w:r>
      <w:r w:rsidRPr="009530BC">
        <w:t xml:space="preserve"> Price;</w:t>
      </w:r>
    </w:p>
    <w:p w14:paraId="05E18E23" w14:textId="77777777" w:rsidR="009530BC" w:rsidRPr="009530BC" w:rsidRDefault="009530BC" w:rsidP="006A200A">
      <w:pPr>
        <w:pStyle w:val="OutlinenumberedLevel4"/>
        <w:numPr>
          <w:ilvl w:val="3"/>
          <w:numId w:val="3"/>
        </w:numPr>
        <w:spacing w:before="0"/>
      </w:pPr>
      <w:r w:rsidRPr="009530BC">
        <w:t xml:space="preserve">completion of the purchase by the Third Party of all of the </w:t>
      </w:r>
      <w:r w:rsidR="00A019A6">
        <w:t>Co-Sale</w:t>
      </w:r>
      <w:r w:rsidRPr="009530BC">
        <w:t xml:space="preserve"> Shares must take place on the date of completion of the sale of the Seller’s Shares, which must be no later than 60 </w:t>
      </w:r>
      <w:r w:rsidR="00256203">
        <w:t>Business Day</w:t>
      </w:r>
      <w:r w:rsidRPr="009530BC">
        <w:t>s after the date of the Substantial Sale Notice (unless in the case of the sale by any particular Remaining Shareholder, that Remaining Shareholder and the Seller agree otherwise); and</w:t>
      </w:r>
    </w:p>
    <w:p w14:paraId="39168AE4" w14:textId="77777777" w:rsidR="009530BC" w:rsidRPr="009530BC" w:rsidRDefault="009530BC" w:rsidP="006A200A">
      <w:pPr>
        <w:pStyle w:val="OutlinenumberedLevel4"/>
        <w:numPr>
          <w:ilvl w:val="3"/>
          <w:numId w:val="3"/>
        </w:numPr>
        <w:spacing w:before="0"/>
      </w:pPr>
      <w:r w:rsidRPr="009530BC">
        <w:t xml:space="preserve">if the Seller is unable to cause the Third Party to complete the purchase of all of the </w:t>
      </w:r>
      <w:r w:rsidR="00A019A6">
        <w:t>Co-Sale</w:t>
      </w:r>
      <w:r w:rsidRPr="009530BC">
        <w:t xml:space="preserve"> Shares in accordance with this paragraph by the date specified in paragraph 3ciii, then the Seller will not be entitled to sell, transfer or otherwise dispose of any of its Shares to the Third Party</w:t>
      </w:r>
      <w:r w:rsidR="00F57279">
        <w:t>.</w:t>
      </w:r>
    </w:p>
    <w:p w14:paraId="30DB0CD1" w14:textId="77777777" w:rsidR="00B20860" w:rsidRDefault="00B20860">
      <w:pPr>
        <w:tabs>
          <w:tab w:val="clear" w:pos="567"/>
        </w:tabs>
        <w:spacing w:after="0" w:line="240" w:lineRule="auto"/>
        <w:rPr>
          <w:rFonts w:cs="Arial"/>
          <w:lang w:eastAsia="en-US"/>
        </w:rPr>
      </w:pPr>
      <w:r>
        <w:rPr>
          <w:rFonts w:cs="Arial"/>
          <w:lang w:eastAsia="en-US"/>
        </w:rPr>
        <w:br w:type="page"/>
      </w:r>
    </w:p>
    <w:p w14:paraId="5E878C69" w14:textId="77777777" w:rsidR="00B20860" w:rsidRPr="003D2641" w:rsidRDefault="00B20860" w:rsidP="00B20860">
      <w:pPr>
        <w:jc w:val="center"/>
        <w:rPr>
          <w:rFonts w:ascii="Arial Black" w:hAnsi="Arial Black"/>
          <w:color w:val="C00000"/>
          <w:lang w:eastAsia="en-US"/>
        </w:rPr>
      </w:pPr>
      <w:r w:rsidRPr="003D2641">
        <w:rPr>
          <w:rFonts w:ascii="Arial Black" w:hAnsi="Arial Black"/>
          <w:color w:val="C00000"/>
          <w:lang w:eastAsia="en-US"/>
        </w:rPr>
        <w:lastRenderedPageBreak/>
        <w:t xml:space="preserve">SCHEDULE </w:t>
      </w:r>
      <w:r>
        <w:rPr>
          <w:rFonts w:ascii="Arial Black" w:hAnsi="Arial Black"/>
          <w:color w:val="C00000"/>
          <w:lang w:eastAsia="en-US"/>
        </w:rPr>
        <w:t>6</w:t>
      </w:r>
    </w:p>
    <w:p w14:paraId="112273DC" w14:textId="77777777" w:rsidR="00B20860" w:rsidRDefault="00B20860" w:rsidP="00B20860">
      <w:pPr>
        <w:jc w:val="center"/>
        <w:rPr>
          <w:b/>
          <w:bCs/>
          <w:lang w:eastAsia="en-US"/>
        </w:rPr>
      </w:pPr>
      <w:r w:rsidRPr="003D2641">
        <w:rPr>
          <w:b/>
          <w:bCs/>
          <w:lang w:eastAsia="en-US"/>
        </w:rPr>
        <w:t>D</w:t>
      </w:r>
      <w:r>
        <w:rPr>
          <w:b/>
          <w:bCs/>
          <w:lang w:eastAsia="en-US"/>
        </w:rPr>
        <w:t>etails for Notices</w:t>
      </w:r>
    </w:p>
    <w:p w14:paraId="71C37EFC" w14:textId="77777777" w:rsidR="00B20860" w:rsidRPr="00B20860" w:rsidRDefault="00B20860" w:rsidP="00B20860">
      <w:pPr>
        <w:jc w:val="center"/>
        <w:rPr>
          <w:b/>
          <w:bCs/>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781"/>
      </w:tblGrid>
      <w:tr w:rsidR="00B20860" w:rsidRPr="003D2641" w14:paraId="2A0E2ABE" w14:textId="77777777" w:rsidTr="0009450C">
        <w:tc>
          <w:tcPr>
            <w:tcW w:w="7989" w:type="dxa"/>
            <w:gridSpan w:val="2"/>
            <w:shd w:val="clear" w:color="auto" w:fill="BFBFBF"/>
          </w:tcPr>
          <w:p w14:paraId="73EB6EFF" w14:textId="77777777" w:rsidR="00B20860" w:rsidRPr="001D0E9E" w:rsidRDefault="00B20860" w:rsidP="0009450C">
            <w:pPr>
              <w:rPr>
                <w:rFonts w:ascii="Arial Black" w:hAnsi="Arial Black" w:cs="Arial"/>
                <w:smallCaps/>
                <w:color w:val="C00000"/>
                <w:lang w:eastAsia="en-US"/>
              </w:rPr>
            </w:pPr>
            <w:r w:rsidRPr="001D0E9E">
              <w:rPr>
                <w:rFonts w:ascii="Arial Black" w:hAnsi="Arial Black"/>
                <w:smallCaps/>
                <w:color w:val="C00000"/>
              </w:rPr>
              <w:t>[</w:t>
            </w:r>
            <w:r w:rsidRPr="001D0E9E">
              <w:rPr>
                <w:rFonts w:ascii="Arial Black" w:hAnsi="Arial Black"/>
                <w:i/>
                <w:smallCaps/>
                <w:color w:val="C00000"/>
              </w:rPr>
              <w:t>Insert name of party</w:t>
            </w:r>
            <w:r w:rsidRPr="001D0E9E">
              <w:rPr>
                <w:rFonts w:ascii="Arial Black" w:hAnsi="Arial Black"/>
                <w:smallCaps/>
                <w:color w:val="C00000"/>
              </w:rPr>
              <w:t>]</w:t>
            </w:r>
          </w:p>
        </w:tc>
      </w:tr>
      <w:tr w:rsidR="00354E0D" w:rsidRPr="003D2641" w14:paraId="569EB829" w14:textId="77777777" w:rsidTr="0009450C">
        <w:tc>
          <w:tcPr>
            <w:tcW w:w="2208" w:type="dxa"/>
          </w:tcPr>
          <w:p w14:paraId="7C8A8978" w14:textId="77777777" w:rsidR="00354E0D" w:rsidRPr="003D2641" w:rsidRDefault="00354E0D" w:rsidP="00354E0D">
            <w:pPr>
              <w:rPr>
                <w:b/>
              </w:rPr>
            </w:pPr>
            <w:r w:rsidRPr="003D2641">
              <w:rPr>
                <w:b/>
              </w:rPr>
              <w:t xml:space="preserve">Contact </w:t>
            </w:r>
            <w:r>
              <w:rPr>
                <w:b/>
              </w:rPr>
              <w:t>n</w:t>
            </w:r>
            <w:r w:rsidRPr="003D2641">
              <w:rPr>
                <w:b/>
              </w:rPr>
              <w:t>ame</w:t>
            </w:r>
          </w:p>
        </w:tc>
        <w:tc>
          <w:tcPr>
            <w:tcW w:w="5781" w:type="dxa"/>
          </w:tcPr>
          <w:p w14:paraId="69C8C79D" w14:textId="77777777" w:rsidR="00354E0D" w:rsidRPr="003D2641" w:rsidRDefault="00354E0D" w:rsidP="00354E0D">
            <w:pPr>
              <w:rPr>
                <w:rFonts w:cs="Arial"/>
                <w:lang w:eastAsia="en-US"/>
              </w:rPr>
            </w:pPr>
            <w:r w:rsidRPr="00395A99">
              <w:t>[</w:t>
            </w:r>
            <w:r w:rsidRPr="00395A99">
              <w:rPr>
                <w:i/>
              </w:rPr>
              <w:t>insert</w:t>
            </w:r>
            <w:r w:rsidRPr="00395A99">
              <w:t>]</w:t>
            </w:r>
          </w:p>
        </w:tc>
      </w:tr>
      <w:tr w:rsidR="00354E0D" w:rsidRPr="003D2641" w14:paraId="4410F83B" w14:textId="77777777" w:rsidTr="0009450C">
        <w:tc>
          <w:tcPr>
            <w:tcW w:w="2208" w:type="dxa"/>
          </w:tcPr>
          <w:p w14:paraId="220BECD7" w14:textId="77777777" w:rsidR="00354E0D" w:rsidRPr="003D2641" w:rsidRDefault="00354E0D" w:rsidP="00354E0D">
            <w:pPr>
              <w:rPr>
                <w:b/>
              </w:rPr>
            </w:pPr>
            <w:r w:rsidRPr="003D2641">
              <w:rPr>
                <w:b/>
              </w:rPr>
              <w:t>Company</w:t>
            </w:r>
          </w:p>
        </w:tc>
        <w:tc>
          <w:tcPr>
            <w:tcW w:w="5781" w:type="dxa"/>
          </w:tcPr>
          <w:p w14:paraId="3E89B5D1" w14:textId="77777777" w:rsidR="00354E0D" w:rsidRPr="003D2641" w:rsidRDefault="00354E0D" w:rsidP="00354E0D">
            <w:pPr>
              <w:rPr>
                <w:rFonts w:cs="Arial"/>
                <w:lang w:eastAsia="en-US"/>
              </w:rPr>
            </w:pPr>
            <w:r w:rsidRPr="00395A99">
              <w:t>[</w:t>
            </w:r>
            <w:r w:rsidRPr="00395A99">
              <w:rPr>
                <w:i/>
              </w:rPr>
              <w:t>insert</w:t>
            </w:r>
            <w:r w:rsidRPr="00395A99">
              <w:t>]</w:t>
            </w:r>
          </w:p>
        </w:tc>
      </w:tr>
      <w:tr w:rsidR="00354E0D" w:rsidRPr="003D2641" w14:paraId="31A2EA74" w14:textId="77777777" w:rsidTr="0009450C">
        <w:tc>
          <w:tcPr>
            <w:tcW w:w="2208" w:type="dxa"/>
          </w:tcPr>
          <w:p w14:paraId="5A0FB916" w14:textId="77777777" w:rsidR="00354E0D" w:rsidRPr="003D2641" w:rsidRDefault="00354E0D" w:rsidP="00354E0D">
            <w:pPr>
              <w:rPr>
                <w:rFonts w:cs="Arial"/>
                <w:b/>
                <w:lang w:eastAsia="en-US"/>
              </w:rPr>
            </w:pPr>
            <w:r>
              <w:rPr>
                <w:b/>
              </w:rPr>
              <w:t xml:space="preserve">Address </w:t>
            </w:r>
          </w:p>
        </w:tc>
        <w:tc>
          <w:tcPr>
            <w:tcW w:w="5781" w:type="dxa"/>
          </w:tcPr>
          <w:p w14:paraId="283C700A" w14:textId="77777777" w:rsidR="00354E0D" w:rsidRPr="003D2641" w:rsidRDefault="00354E0D" w:rsidP="00354E0D">
            <w:pPr>
              <w:rPr>
                <w:rFonts w:cs="Arial"/>
                <w:lang w:eastAsia="en-US"/>
              </w:rPr>
            </w:pPr>
            <w:r w:rsidRPr="00395A99">
              <w:t>[</w:t>
            </w:r>
            <w:r w:rsidRPr="00395A99">
              <w:rPr>
                <w:i/>
              </w:rPr>
              <w:t>insert</w:t>
            </w:r>
            <w:r w:rsidRPr="00395A99">
              <w:t>]</w:t>
            </w:r>
          </w:p>
        </w:tc>
      </w:tr>
      <w:tr w:rsidR="00354E0D" w:rsidRPr="003D2641" w14:paraId="53143F04" w14:textId="77777777" w:rsidTr="0009450C">
        <w:tc>
          <w:tcPr>
            <w:tcW w:w="2208" w:type="dxa"/>
          </w:tcPr>
          <w:p w14:paraId="52092E2B" w14:textId="77777777" w:rsidR="00354E0D" w:rsidRPr="003D2641" w:rsidRDefault="00354E0D" w:rsidP="00354E0D">
            <w:pPr>
              <w:rPr>
                <w:b/>
              </w:rPr>
            </w:pPr>
            <w:r w:rsidRPr="003D2641">
              <w:rPr>
                <w:b/>
              </w:rPr>
              <w:t>Email address</w:t>
            </w:r>
          </w:p>
        </w:tc>
        <w:tc>
          <w:tcPr>
            <w:tcW w:w="5781" w:type="dxa"/>
          </w:tcPr>
          <w:p w14:paraId="453D1325" w14:textId="77777777" w:rsidR="00354E0D" w:rsidRPr="003D2641" w:rsidRDefault="00354E0D" w:rsidP="00354E0D">
            <w:pPr>
              <w:rPr>
                <w:rFonts w:cs="Arial"/>
                <w:lang w:eastAsia="en-US"/>
              </w:rPr>
            </w:pPr>
            <w:r w:rsidRPr="00395A99">
              <w:t>[</w:t>
            </w:r>
            <w:r w:rsidRPr="00395A99">
              <w:rPr>
                <w:i/>
              </w:rPr>
              <w:t>insert</w:t>
            </w:r>
            <w:r w:rsidRPr="00395A99">
              <w:t>]</w:t>
            </w:r>
          </w:p>
        </w:tc>
      </w:tr>
    </w:tbl>
    <w:p w14:paraId="4AC26EB8" w14:textId="77777777" w:rsidR="00B20860" w:rsidRPr="008B7C99" w:rsidRDefault="00B20860" w:rsidP="00B20860">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781"/>
      </w:tblGrid>
      <w:tr w:rsidR="00B20860" w:rsidRPr="003D2641" w14:paraId="48BF851E" w14:textId="77777777" w:rsidTr="0009450C">
        <w:tc>
          <w:tcPr>
            <w:tcW w:w="7989" w:type="dxa"/>
            <w:gridSpan w:val="2"/>
            <w:shd w:val="clear" w:color="auto" w:fill="BFBFBF"/>
          </w:tcPr>
          <w:p w14:paraId="201E62C3" w14:textId="77777777" w:rsidR="00B20860" w:rsidRPr="003D2641" w:rsidRDefault="00B20860" w:rsidP="0009450C">
            <w:pPr>
              <w:rPr>
                <w:rFonts w:ascii="Arial Black" w:hAnsi="Arial Black" w:cs="Arial"/>
                <w:color w:val="C00000"/>
                <w:lang w:eastAsia="en-US"/>
              </w:rPr>
            </w:pPr>
            <w:r w:rsidRPr="00A82F44">
              <w:rPr>
                <w:rFonts w:ascii="Arial Black" w:hAnsi="Arial Black"/>
                <w:smallCaps/>
                <w:color w:val="C00000"/>
              </w:rPr>
              <w:t>[</w:t>
            </w:r>
            <w:r w:rsidRPr="00A82F44">
              <w:rPr>
                <w:rFonts w:ascii="Arial Black" w:hAnsi="Arial Black"/>
                <w:i/>
                <w:smallCaps/>
                <w:color w:val="C00000"/>
              </w:rPr>
              <w:t>Insert name of party</w:t>
            </w:r>
            <w:r w:rsidRPr="00A82F44">
              <w:rPr>
                <w:rFonts w:ascii="Arial Black" w:hAnsi="Arial Black"/>
                <w:smallCaps/>
                <w:color w:val="C00000"/>
              </w:rPr>
              <w:t>]</w:t>
            </w:r>
          </w:p>
        </w:tc>
      </w:tr>
      <w:tr w:rsidR="00354E0D" w:rsidRPr="003D2641" w14:paraId="2ED82004" w14:textId="77777777" w:rsidTr="0009450C">
        <w:tc>
          <w:tcPr>
            <w:tcW w:w="2208" w:type="dxa"/>
          </w:tcPr>
          <w:p w14:paraId="7662A52A" w14:textId="77777777" w:rsidR="00354E0D" w:rsidRPr="003D2641" w:rsidRDefault="00354E0D" w:rsidP="00354E0D">
            <w:pPr>
              <w:rPr>
                <w:b/>
              </w:rPr>
            </w:pPr>
            <w:r>
              <w:rPr>
                <w:b/>
              </w:rPr>
              <w:t>Contact n</w:t>
            </w:r>
            <w:r w:rsidRPr="003D2641">
              <w:rPr>
                <w:b/>
              </w:rPr>
              <w:t>ame</w:t>
            </w:r>
          </w:p>
        </w:tc>
        <w:tc>
          <w:tcPr>
            <w:tcW w:w="5781" w:type="dxa"/>
          </w:tcPr>
          <w:p w14:paraId="41673139" w14:textId="77777777" w:rsidR="00354E0D" w:rsidRPr="003D2641" w:rsidRDefault="00354E0D" w:rsidP="00354E0D">
            <w:pPr>
              <w:rPr>
                <w:rFonts w:cs="Arial"/>
                <w:lang w:eastAsia="en-US"/>
              </w:rPr>
            </w:pPr>
            <w:r w:rsidRPr="00CF03C9">
              <w:t>[</w:t>
            </w:r>
            <w:r w:rsidRPr="00CF03C9">
              <w:rPr>
                <w:i/>
              </w:rPr>
              <w:t>insert</w:t>
            </w:r>
            <w:r w:rsidRPr="00CF03C9">
              <w:t>]</w:t>
            </w:r>
          </w:p>
        </w:tc>
      </w:tr>
      <w:tr w:rsidR="00354E0D" w:rsidRPr="003D2641" w14:paraId="09BE43E4" w14:textId="77777777" w:rsidTr="0009450C">
        <w:tc>
          <w:tcPr>
            <w:tcW w:w="2208" w:type="dxa"/>
          </w:tcPr>
          <w:p w14:paraId="3450F7CB" w14:textId="77777777" w:rsidR="00354E0D" w:rsidRPr="003D2641" w:rsidRDefault="00354E0D" w:rsidP="00354E0D">
            <w:pPr>
              <w:rPr>
                <w:b/>
              </w:rPr>
            </w:pPr>
            <w:r w:rsidRPr="003D2641">
              <w:rPr>
                <w:b/>
              </w:rPr>
              <w:t>Company</w:t>
            </w:r>
          </w:p>
        </w:tc>
        <w:tc>
          <w:tcPr>
            <w:tcW w:w="5781" w:type="dxa"/>
          </w:tcPr>
          <w:p w14:paraId="213F0562" w14:textId="77777777" w:rsidR="00354E0D" w:rsidRPr="003D2641" w:rsidRDefault="00354E0D" w:rsidP="00354E0D">
            <w:pPr>
              <w:rPr>
                <w:rFonts w:cs="Arial"/>
                <w:lang w:eastAsia="en-US"/>
              </w:rPr>
            </w:pPr>
            <w:r w:rsidRPr="00CF03C9">
              <w:t>[</w:t>
            </w:r>
            <w:r w:rsidRPr="00CF03C9">
              <w:rPr>
                <w:i/>
              </w:rPr>
              <w:t>insert</w:t>
            </w:r>
            <w:r w:rsidRPr="00CF03C9">
              <w:t>]</w:t>
            </w:r>
          </w:p>
        </w:tc>
      </w:tr>
      <w:tr w:rsidR="00354E0D" w:rsidRPr="003D2641" w14:paraId="33F5FAC7" w14:textId="77777777" w:rsidTr="0009450C">
        <w:tc>
          <w:tcPr>
            <w:tcW w:w="2208" w:type="dxa"/>
          </w:tcPr>
          <w:p w14:paraId="633F39A6" w14:textId="77777777" w:rsidR="00354E0D" w:rsidRPr="003D2641" w:rsidRDefault="00354E0D" w:rsidP="00354E0D">
            <w:pPr>
              <w:rPr>
                <w:rFonts w:cs="Arial"/>
                <w:b/>
                <w:lang w:eastAsia="en-US"/>
              </w:rPr>
            </w:pPr>
            <w:r>
              <w:rPr>
                <w:b/>
              </w:rPr>
              <w:t xml:space="preserve">Address </w:t>
            </w:r>
          </w:p>
        </w:tc>
        <w:tc>
          <w:tcPr>
            <w:tcW w:w="5781" w:type="dxa"/>
          </w:tcPr>
          <w:p w14:paraId="0B937B83" w14:textId="77777777" w:rsidR="00354E0D" w:rsidRPr="003D2641" w:rsidRDefault="00354E0D" w:rsidP="00354E0D">
            <w:pPr>
              <w:rPr>
                <w:rFonts w:cs="Arial"/>
                <w:lang w:eastAsia="en-US"/>
              </w:rPr>
            </w:pPr>
            <w:r w:rsidRPr="00CF03C9">
              <w:t>[</w:t>
            </w:r>
            <w:r w:rsidRPr="00CF03C9">
              <w:rPr>
                <w:i/>
              </w:rPr>
              <w:t>insert</w:t>
            </w:r>
            <w:r w:rsidRPr="00CF03C9">
              <w:t>]</w:t>
            </w:r>
          </w:p>
        </w:tc>
      </w:tr>
      <w:tr w:rsidR="00354E0D" w:rsidRPr="003D2641" w14:paraId="1A34BEDE" w14:textId="77777777" w:rsidTr="0009450C">
        <w:tc>
          <w:tcPr>
            <w:tcW w:w="2208" w:type="dxa"/>
          </w:tcPr>
          <w:p w14:paraId="7EA261E1" w14:textId="77777777" w:rsidR="00354E0D" w:rsidRPr="003D2641" w:rsidRDefault="00354E0D" w:rsidP="00354E0D">
            <w:pPr>
              <w:rPr>
                <w:b/>
              </w:rPr>
            </w:pPr>
            <w:r w:rsidRPr="003D2641">
              <w:rPr>
                <w:b/>
              </w:rPr>
              <w:t>Email address</w:t>
            </w:r>
          </w:p>
        </w:tc>
        <w:tc>
          <w:tcPr>
            <w:tcW w:w="5781" w:type="dxa"/>
          </w:tcPr>
          <w:p w14:paraId="369200C8" w14:textId="77777777" w:rsidR="00354E0D" w:rsidRPr="003D2641" w:rsidRDefault="00354E0D" w:rsidP="00354E0D">
            <w:pPr>
              <w:rPr>
                <w:rFonts w:cs="Arial"/>
                <w:lang w:eastAsia="en-US"/>
              </w:rPr>
            </w:pPr>
            <w:r w:rsidRPr="00CF03C9">
              <w:t>[</w:t>
            </w:r>
            <w:r w:rsidRPr="00CF03C9">
              <w:rPr>
                <w:i/>
              </w:rPr>
              <w:t>insert</w:t>
            </w:r>
            <w:r w:rsidRPr="00CF03C9">
              <w:t>]</w:t>
            </w:r>
          </w:p>
        </w:tc>
      </w:tr>
    </w:tbl>
    <w:p w14:paraId="748B05B0" w14:textId="77777777" w:rsidR="00B20860" w:rsidRDefault="00B20860" w:rsidP="00B20860">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781"/>
      </w:tblGrid>
      <w:tr w:rsidR="00B20860" w:rsidRPr="003D2641" w14:paraId="303B7B08" w14:textId="77777777" w:rsidTr="0009450C">
        <w:tc>
          <w:tcPr>
            <w:tcW w:w="7989" w:type="dxa"/>
            <w:gridSpan w:val="2"/>
            <w:shd w:val="clear" w:color="auto" w:fill="BFBFBF"/>
          </w:tcPr>
          <w:p w14:paraId="1466363D" w14:textId="77777777" w:rsidR="00B20860" w:rsidRPr="003D2641" w:rsidRDefault="00B20860" w:rsidP="0009450C">
            <w:pPr>
              <w:rPr>
                <w:rFonts w:ascii="Arial Black" w:hAnsi="Arial Black" w:cs="Arial"/>
                <w:color w:val="C00000"/>
                <w:lang w:eastAsia="en-US"/>
              </w:rPr>
            </w:pPr>
            <w:r w:rsidRPr="00A82F44">
              <w:rPr>
                <w:rFonts w:ascii="Arial Black" w:hAnsi="Arial Black"/>
                <w:smallCaps/>
                <w:color w:val="C00000"/>
              </w:rPr>
              <w:t>[</w:t>
            </w:r>
            <w:r w:rsidRPr="00A82F44">
              <w:rPr>
                <w:rFonts w:ascii="Arial Black" w:hAnsi="Arial Black"/>
                <w:i/>
                <w:smallCaps/>
                <w:color w:val="C00000"/>
              </w:rPr>
              <w:t>Insert name of party</w:t>
            </w:r>
            <w:r w:rsidRPr="00A82F44">
              <w:rPr>
                <w:rFonts w:ascii="Arial Black" w:hAnsi="Arial Black"/>
                <w:smallCaps/>
                <w:color w:val="C00000"/>
              </w:rPr>
              <w:t>]</w:t>
            </w:r>
          </w:p>
        </w:tc>
      </w:tr>
      <w:tr w:rsidR="00354E0D" w:rsidRPr="003D2641" w14:paraId="420D6E75" w14:textId="77777777" w:rsidTr="0009450C">
        <w:tc>
          <w:tcPr>
            <w:tcW w:w="2208" w:type="dxa"/>
          </w:tcPr>
          <w:p w14:paraId="74EBB693" w14:textId="77777777" w:rsidR="00354E0D" w:rsidRPr="003D2641" w:rsidRDefault="00354E0D" w:rsidP="00354E0D">
            <w:pPr>
              <w:rPr>
                <w:b/>
              </w:rPr>
            </w:pPr>
            <w:r>
              <w:rPr>
                <w:b/>
              </w:rPr>
              <w:t>Contact n</w:t>
            </w:r>
            <w:r w:rsidRPr="003D2641">
              <w:rPr>
                <w:b/>
              </w:rPr>
              <w:t>ame</w:t>
            </w:r>
          </w:p>
        </w:tc>
        <w:tc>
          <w:tcPr>
            <w:tcW w:w="5781" w:type="dxa"/>
          </w:tcPr>
          <w:p w14:paraId="11C808FC" w14:textId="77777777" w:rsidR="00354E0D" w:rsidRPr="003D2641" w:rsidRDefault="00354E0D" w:rsidP="00354E0D">
            <w:pPr>
              <w:rPr>
                <w:rFonts w:cs="Arial"/>
                <w:lang w:eastAsia="en-US"/>
              </w:rPr>
            </w:pPr>
            <w:r w:rsidRPr="00561CD5">
              <w:t>[</w:t>
            </w:r>
            <w:r w:rsidRPr="00561CD5">
              <w:rPr>
                <w:i/>
              </w:rPr>
              <w:t>insert</w:t>
            </w:r>
            <w:r w:rsidRPr="00561CD5">
              <w:t>]</w:t>
            </w:r>
          </w:p>
        </w:tc>
      </w:tr>
      <w:tr w:rsidR="00354E0D" w:rsidRPr="003D2641" w14:paraId="5407507C" w14:textId="77777777" w:rsidTr="0009450C">
        <w:tc>
          <w:tcPr>
            <w:tcW w:w="2208" w:type="dxa"/>
          </w:tcPr>
          <w:p w14:paraId="18536037" w14:textId="77777777" w:rsidR="00354E0D" w:rsidRPr="003D2641" w:rsidRDefault="00354E0D" w:rsidP="00354E0D">
            <w:pPr>
              <w:rPr>
                <w:b/>
              </w:rPr>
            </w:pPr>
            <w:r w:rsidRPr="003D2641">
              <w:rPr>
                <w:b/>
              </w:rPr>
              <w:t>Company</w:t>
            </w:r>
          </w:p>
        </w:tc>
        <w:tc>
          <w:tcPr>
            <w:tcW w:w="5781" w:type="dxa"/>
          </w:tcPr>
          <w:p w14:paraId="519ECC10" w14:textId="77777777" w:rsidR="00354E0D" w:rsidRPr="003D2641" w:rsidRDefault="00354E0D" w:rsidP="00354E0D">
            <w:pPr>
              <w:rPr>
                <w:rFonts w:cs="Arial"/>
                <w:lang w:eastAsia="en-US"/>
              </w:rPr>
            </w:pPr>
            <w:r w:rsidRPr="00561CD5">
              <w:t>[</w:t>
            </w:r>
            <w:r w:rsidRPr="00561CD5">
              <w:rPr>
                <w:i/>
              </w:rPr>
              <w:t>insert</w:t>
            </w:r>
            <w:r w:rsidRPr="00561CD5">
              <w:t>]</w:t>
            </w:r>
          </w:p>
        </w:tc>
      </w:tr>
      <w:tr w:rsidR="00354E0D" w:rsidRPr="003D2641" w14:paraId="2D26CFA7" w14:textId="77777777" w:rsidTr="0009450C">
        <w:tc>
          <w:tcPr>
            <w:tcW w:w="2208" w:type="dxa"/>
          </w:tcPr>
          <w:p w14:paraId="37A79A9C" w14:textId="77777777" w:rsidR="00354E0D" w:rsidRPr="003D2641" w:rsidRDefault="00354E0D" w:rsidP="00354E0D">
            <w:pPr>
              <w:rPr>
                <w:rFonts w:cs="Arial"/>
                <w:b/>
                <w:lang w:eastAsia="en-US"/>
              </w:rPr>
            </w:pPr>
            <w:r>
              <w:rPr>
                <w:b/>
              </w:rPr>
              <w:t xml:space="preserve">Address </w:t>
            </w:r>
          </w:p>
        </w:tc>
        <w:tc>
          <w:tcPr>
            <w:tcW w:w="5781" w:type="dxa"/>
          </w:tcPr>
          <w:p w14:paraId="33E32C4A" w14:textId="77777777" w:rsidR="00354E0D" w:rsidRPr="003D2641" w:rsidRDefault="00354E0D" w:rsidP="00354E0D">
            <w:pPr>
              <w:rPr>
                <w:rFonts w:cs="Arial"/>
                <w:lang w:eastAsia="en-US"/>
              </w:rPr>
            </w:pPr>
            <w:r w:rsidRPr="00561CD5">
              <w:t>[</w:t>
            </w:r>
            <w:r w:rsidRPr="00561CD5">
              <w:rPr>
                <w:i/>
              </w:rPr>
              <w:t>insert</w:t>
            </w:r>
            <w:r w:rsidRPr="00561CD5">
              <w:t>]</w:t>
            </w:r>
          </w:p>
        </w:tc>
      </w:tr>
      <w:tr w:rsidR="00354E0D" w:rsidRPr="003D2641" w14:paraId="69B1D48A" w14:textId="77777777" w:rsidTr="0009450C">
        <w:tc>
          <w:tcPr>
            <w:tcW w:w="2208" w:type="dxa"/>
          </w:tcPr>
          <w:p w14:paraId="44F8F90F" w14:textId="77777777" w:rsidR="00354E0D" w:rsidRPr="003D2641" w:rsidRDefault="00354E0D" w:rsidP="00354E0D">
            <w:pPr>
              <w:rPr>
                <w:b/>
              </w:rPr>
            </w:pPr>
            <w:r w:rsidRPr="003D2641">
              <w:rPr>
                <w:b/>
              </w:rPr>
              <w:t>Email address</w:t>
            </w:r>
          </w:p>
        </w:tc>
        <w:tc>
          <w:tcPr>
            <w:tcW w:w="5781" w:type="dxa"/>
          </w:tcPr>
          <w:p w14:paraId="1E77818E" w14:textId="77777777" w:rsidR="00354E0D" w:rsidRPr="003D2641" w:rsidRDefault="00354E0D" w:rsidP="00354E0D">
            <w:pPr>
              <w:rPr>
                <w:rFonts w:cs="Arial"/>
                <w:lang w:eastAsia="en-US"/>
              </w:rPr>
            </w:pPr>
            <w:r w:rsidRPr="00561CD5">
              <w:t>[</w:t>
            </w:r>
            <w:r w:rsidRPr="00561CD5">
              <w:rPr>
                <w:i/>
              </w:rPr>
              <w:t>insert</w:t>
            </w:r>
            <w:r w:rsidRPr="00561CD5">
              <w:t>]</w:t>
            </w:r>
          </w:p>
        </w:tc>
      </w:tr>
    </w:tbl>
    <w:p w14:paraId="66339590" w14:textId="77777777" w:rsidR="000D738E" w:rsidRPr="009530BC" w:rsidRDefault="000D738E" w:rsidP="00117614">
      <w:pPr>
        <w:rPr>
          <w:rFonts w:cs="Arial"/>
          <w:lang w:eastAsia="en-US"/>
        </w:rPr>
      </w:pPr>
    </w:p>
    <w:sectPr w:rsidR="000D738E" w:rsidRPr="009530BC" w:rsidSect="00A06A24">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AF0DA" w14:textId="77777777" w:rsidR="00435375" w:rsidRDefault="00435375">
      <w:r>
        <w:separator/>
      </w:r>
    </w:p>
  </w:endnote>
  <w:endnote w:type="continuationSeparator" w:id="0">
    <w:p w14:paraId="74E6A453" w14:textId="77777777" w:rsidR="00435375" w:rsidRDefault="0043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9AE8" w14:textId="77777777" w:rsidR="006A3560" w:rsidRDefault="006A3560" w:rsidP="00B370AD">
    <w:pPr>
      <w:pStyle w:val="Footer"/>
      <w:tabs>
        <w:tab w:val="clear" w:pos="4513"/>
        <w:tab w:val="clear" w:pos="9026"/>
      </w:tabs>
      <w:spacing w:before="100" w:after="0" w:line="240" w:lineRule="auto"/>
      <w:rPr>
        <w:rFonts w:cs="Arial"/>
        <w:color w:val="C00000"/>
        <w:sz w:val="14"/>
        <w:szCs w:val="14"/>
      </w:rPr>
    </w:pPr>
  </w:p>
  <w:p w14:paraId="4C057957" w14:textId="60032AEE" w:rsidR="006A3560" w:rsidRPr="00E646CE" w:rsidRDefault="006A3560" w:rsidP="00B370AD">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A06A24">
      <w:rPr>
        <w:rFonts w:cs="Arial"/>
        <w:color w:val="C00000"/>
        <w:sz w:val="14"/>
        <w:szCs w:val="14"/>
      </w:rPr>
      <w:t>https://</w:t>
    </w:r>
    <w:r w:rsidR="00C131B6">
      <w:rPr>
        <w:rFonts w:cs="Arial"/>
        <w:color w:val="C00000"/>
        <w:sz w:val="14"/>
        <w:szCs w:val="14"/>
      </w:rPr>
      <w:t>kindrik</w:t>
    </w:r>
    <w:r w:rsidR="00A06A24">
      <w:rPr>
        <w:rFonts w:cs="Arial"/>
        <w:color w:val="C00000"/>
        <w:sz w:val="14"/>
        <w:szCs w:val="14"/>
      </w:rPr>
      <w:t>.sg/templates</w:t>
    </w:r>
    <w:r w:rsidRPr="00E646CE">
      <w:rPr>
        <w:rFonts w:cs="Arial"/>
        <w:color w:val="C00000"/>
        <w:sz w:val="14"/>
        <w:szCs w:val="14"/>
      </w:rPr>
      <w:t>.</w:t>
    </w:r>
  </w:p>
  <w:p w14:paraId="090CEE41" w14:textId="7C05179C" w:rsidR="006A3560" w:rsidRPr="00DC1AEF" w:rsidRDefault="006A3560" w:rsidP="00DC1AEF">
    <w:pPr>
      <w:pStyle w:val="Footer"/>
      <w:tabs>
        <w:tab w:val="left" w:pos="1958"/>
        <w:tab w:val="left" w:pos="1985"/>
      </w:tabs>
      <w:rPr>
        <w:rFonts w:cs="Arial"/>
        <w:color w:val="C00000"/>
        <w:sz w:val="14"/>
        <w:szCs w:val="14"/>
      </w:rPr>
    </w:pPr>
    <w:r w:rsidRPr="00E646CE">
      <w:rPr>
        <w:rFonts w:cs="Arial"/>
        <w:color w:val="C00000"/>
        <w:sz w:val="14"/>
        <w:szCs w:val="14"/>
      </w:rPr>
      <w:t xml:space="preserve">© </w:t>
    </w:r>
    <w:r w:rsidR="00C131B6">
      <w:rPr>
        <w:rFonts w:cs="Arial"/>
        <w:color w:val="C00000"/>
        <w:sz w:val="14"/>
        <w:szCs w:val="14"/>
      </w:rPr>
      <w:t xml:space="preserve">Kindrik Partners </w:t>
    </w:r>
    <w:r w:rsidR="00A06A24">
      <w:rPr>
        <w:rFonts w:cs="Arial"/>
        <w:color w:val="C00000"/>
        <w:sz w:val="14"/>
        <w:szCs w:val="14"/>
      </w:rPr>
      <w:t>Limited 20</w:t>
    </w:r>
    <w:r w:rsidR="00C131B6">
      <w:rPr>
        <w:rFonts w:cs="Arial"/>
        <w:color w:val="C00000"/>
        <w:sz w:val="14"/>
        <w:szCs w:val="14"/>
      </w:rPr>
      <w:t xml:space="preserve">20 </w:t>
    </w:r>
    <w:r>
      <w:rPr>
        <w:rFonts w:cs="Arial"/>
        <w:color w:val="C00000"/>
        <w:sz w:val="14"/>
        <w:szCs w:val="14"/>
      </w:rPr>
      <w:tab/>
      <w:t xml:space="preserve">SEA </w:t>
    </w:r>
    <w:r w:rsidR="00C131B6">
      <w:rPr>
        <w:rFonts w:cs="Arial"/>
        <w:color w:val="C00000"/>
        <w:sz w:val="14"/>
        <w:szCs w:val="14"/>
      </w:rPr>
      <w:t>V</w:t>
    </w:r>
    <w:r>
      <w:rPr>
        <w:rFonts w:cs="Arial"/>
        <w:color w:val="C00000"/>
        <w:sz w:val="14"/>
        <w:szCs w:val="14"/>
      </w:rPr>
      <w:t>1.</w:t>
    </w:r>
    <w:r w:rsidR="00C131B6">
      <w:rPr>
        <w:rFonts w:cs="Arial"/>
        <w:color w:val="C00000"/>
        <w:sz w:val="14"/>
        <w:szCs w:val="14"/>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FC31" w14:textId="28F2AE4C" w:rsidR="006A3560" w:rsidRPr="002839D4" w:rsidRDefault="006A3560" w:rsidP="004E6805">
    <w:pPr>
      <w:spacing w:before="100" w:after="0" w:line="240" w:lineRule="auto"/>
      <w:rPr>
        <w:rFonts w:cs="Arial"/>
        <w:color w:val="C00000"/>
        <w:sz w:val="14"/>
        <w:szCs w:val="14"/>
      </w:rPr>
    </w:pPr>
    <w:bookmarkStart w:id="62" w:name="PRIMARYFOOTERSPECBEGIN4"/>
    <w:bookmarkStart w:id="63" w:name="PRIMARYFOOTERSPECEND4"/>
    <w:bookmarkEnd w:id="62"/>
    <w:bookmarkEnd w:id="63"/>
    <w:r w:rsidRPr="002839D4">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sidR="00A06A24">
      <w:rPr>
        <w:rFonts w:cs="Arial"/>
        <w:color w:val="C00000"/>
        <w:sz w:val="14"/>
        <w:szCs w:val="14"/>
      </w:rPr>
      <w:t>https://</w:t>
    </w:r>
    <w:r w:rsidR="00C131B6">
      <w:rPr>
        <w:rFonts w:cs="Arial"/>
        <w:color w:val="C00000"/>
        <w:sz w:val="14"/>
        <w:szCs w:val="14"/>
      </w:rPr>
      <w:t>kindrik</w:t>
    </w:r>
    <w:r w:rsidR="00A06A24">
      <w:rPr>
        <w:rFonts w:cs="Arial"/>
        <w:color w:val="C00000"/>
        <w:sz w:val="14"/>
        <w:szCs w:val="14"/>
      </w:rPr>
      <w:t>.sg/templates</w:t>
    </w:r>
    <w:r w:rsidRPr="002839D4">
      <w:rPr>
        <w:rFonts w:cs="Arial"/>
        <w:color w:val="C00000"/>
        <w:sz w:val="14"/>
        <w:szCs w:val="14"/>
      </w:rPr>
      <w:t>.</w:t>
    </w:r>
  </w:p>
  <w:p w14:paraId="2007A238" w14:textId="67D43646" w:rsidR="006A3560" w:rsidRDefault="006A3560" w:rsidP="004E6805">
    <w:pPr>
      <w:spacing w:before="100" w:after="0" w:line="240" w:lineRule="auto"/>
      <w:rPr>
        <w:sz w:val="14"/>
        <w:szCs w:val="14"/>
      </w:rPr>
    </w:pPr>
    <w:r>
      <w:rPr>
        <w:rFonts w:cs="Arial"/>
        <w:color w:val="C00000"/>
        <w:sz w:val="14"/>
        <w:szCs w:val="14"/>
      </w:rPr>
      <w:t xml:space="preserve">© </w:t>
    </w:r>
    <w:r w:rsidR="00C131B6">
      <w:rPr>
        <w:rFonts w:cs="Arial"/>
        <w:color w:val="C00000"/>
        <w:sz w:val="14"/>
        <w:szCs w:val="14"/>
      </w:rPr>
      <w:t>Kindrik Partners</w:t>
    </w:r>
    <w:r w:rsidR="00A06A24">
      <w:rPr>
        <w:rFonts w:cs="Arial"/>
        <w:color w:val="C00000"/>
        <w:sz w:val="14"/>
        <w:szCs w:val="14"/>
      </w:rPr>
      <w:t xml:space="preserve"> Limited 20</w:t>
    </w:r>
    <w:r w:rsidR="00C131B6">
      <w:rPr>
        <w:rFonts w:cs="Arial"/>
        <w:color w:val="C00000"/>
        <w:sz w:val="14"/>
        <w:szCs w:val="14"/>
      </w:rPr>
      <w:t>20</w:t>
    </w:r>
    <w:r w:rsidRPr="002839D4">
      <w:rPr>
        <w:rFonts w:cs="Arial"/>
        <w:color w:val="C00000"/>
        <w:sz w:val="14"/>
        <w:szCs w:val="14"/>
      </w:rPr>
      <w:tab/>
    </w:r>
    <w:r>
      <w:rPr>
        <w:rFonts w:cs="Arial"/>
        <w:color w:val="C00000"/>
        <w:sz w:val="14"/>
        <w:szCs w:val="14"/>
      </w:rPr>
      <w:tab/>
    </w:r>
    <w:r w:rsidR="00A06A24">
      <w:rPr>
        <w:rFonts w:cs="Arial"/>
        <w:color w:val="C00000"/>
        <w:sz w:val="14"/>
        <w:szCs w:val="14"/>
      </w:rPr>
      <w:t>SEA V1.</w:t>
    </w:r>
    <w:r w:rsidR="00C131B6">
      <w:rPr>
        <w:rFonts w:cs="Arial"/>
        <w:color w:val="C00000"/>
        <w:sz w:val="14"/>
        <w:szCs w:val="14"/>
      </w:rPr>
      <w:t>4</w:t>
    </w:r>
    <w:r w:rsidRPr="002839D4">
      <w:rPr>
        <w:sz w:val="14"/>
        <w:szCs w:val="14"/>
      </w:rPr>
      <w:tab/>
    </w:r>
  </w:p>
  <w:p w14:paraId="3FE04EB5" w14:textId="328BB3AC" w:rsidR="00A06A24" w:rsidRPr="004E6805" w:rsidRDefault="00A06A24" w:rsidP="00A06A24">
    <w:pPr>
      <w:spacing w:beforeLines="100" w:before="240" w:after="0" w:line="240" w:lineRule="auto"/>
      <w:jc w:val="right"/>
      <w:rPr>
        <w:sz w:val="14"/>
        <w:szCs w:val="14"/>
      </w:rPr>
    </w:pPr>
    <w:r>
      <w:rPr>
        <w:sz w:val="14"/>
        <w:szCs w:val="14"/>
      </w:rPr>
      <w:fldChar w:fldCharType="begin"/>
    </w:r>
    <w:r>
      <w:rPr>
        <w:sz w:val="14"/>
        <w:szCs w:val="14"/>
      </w:rPr>
      <w:instrText xml:space="preserve"> PAGE   \* MERGEFORMAT </w:instrText>
    </w:r>
    <w:r>
      <w:rPr>
        <w:sz w:val="14"/>
        <w:szCs w:val="14"/>
      </w:rPr>
      <w:fldChar w:fldCharType="separate"/>
    </w:r>
    <w:r>
      <w:rPr>
        <w:sz w:val="14"/>
        <w:szCs w:val="14"/>
      </w:rPr>
      <w:t>25</w:t>
    </w:r>
    <w:r>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4E13" w14:textId="670D61C9" w:rsidR="006A3560" w:rsidRPr="002839D4" w:rsidRDefault="006A3560" w:rsidP="004E6805">
    <w:pPr>
      <w:spacing w:before="100" w:after="0" w:line="240" w:lineRule="auto"/>
      <w:rPr>
        <w:rFonts w:cs="Arial"/>
        <w:color w:val="C00000"/>
        <w:sz w:val="14"/>
        <w:szCs w:val="14"/>
      </w:rPr>
    </w:pPr>
    <w:r w:rsidRPr="002839D4">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sidR="00A06A24">
      <w:rPr>
        <w:rFonts w:cs="Arial"/>
        <w:color w:val="C00000"/>
        <w:sz w:val="14"/>
        <w:szCs w:val="14"/>
      </w:rPr>
      <w:t>https://</w:t>
    </w:r>
    <w:r w:rsidR="00C131B6">
      <w:rPr>
        <w:rFonts w:cs="Arial"/>
        <w:color w:val="C00000"/>
        <w:sz w:val="14"/>
        <w:szCs w:val="14"/>
      </w:rPr>
      <w:t>kindrik</w:t>
    </w:r>
    <w:r w:rsidR="00A06A24">
      <w:rPr>
        <w:rFonts w:cs="Arial"/>
        <w:color w:val="C00000"/>
        <w:sz w:val="14"/>
        <w:szCs w:val="14"/>
      </w:rPr>
      <w:t>.sg/templates</w:t>
    </w:r>
    <w:r w:rsidRPr="002839D4">
      <w:rPr>
        <w:rFonts w:cs="Arial"/>
        <w:color w:val="C00000"/>
        <w:sz w:val="14"/>
        <w:szCs w:val="14"/>
      </w:rPr>
      <w:t>.</w:t>
    </w:r>
  </w:p>
  <w:p w14:paraId="2C7FA778" w14:textId="5FEF8614" w:rsidR="00A06A24" w:rsidRDefault="006A3560" w:rsidP="00A06A24">
    <w:pPr>
      <w:spacing w:beforeLines="100" w:before="240" w:after="0" w:line="240" w:lineRule="auto"/>
      <w:rPr>
        <w:sz w:val="14"/>
        <w:szCs w:val="14"/>
      </w:rPr>
    </w:pPr>
    <w:r>
      <w:rPr>
        <w:rFonts w:cs="Arial"/>
        <w:color w:val="C00000"/>
        <w:sz w:val="14"/>
        <w:szCs w:val="14"/>
      </w:rPr>
      <w:t xml:space="preserve">© </w:t>
    </w:r>
    <w:r w:rsidR="00C131B6">
      <w:rPr>
        <w:rFonts w:cs="Arial"/>
        <w:color w:val="C00000"/>
        <w:sz w:val="14"/>
        <w:szCs w:val="14"/>
      </w:rPr>
      <w:t>Kindrik Partners</w:t>
    </w:r>
    <w:r w:rsidR="00A06A24">
      <w:rPr>
        <w:rFonts w:cs="Arial"/>
        <w:color w:val="C00000"/>
        <w:sz w:val="14"/>
        <w:szCs w:val="14"/>
      </w:rPr>
      <w:t xml:space="preserve"> Limited 20</w:t>
    </w:r>
    <w:r w:rsidR="00C131B6">
      <w:rPr>
        <w:rFonts w:cs="Arial"/>
        <w:color w:val="C00000"/>
        <w:sz w:val="14"/>
        <w:szCs w:val="14"/>
      </w:rPr>
      <w:t>20</w:t>
    </w:r>
    <w:r w:rsidRPr="002839D4">
      <w:rPr>
        <w:rFonts w:cs="Arial"/>
        <w:color w:val="C00000"/>
        <w:sz w:val="14"/>
        <w:szCs w:val="14"/>
      </w:rPr>
      <w:tab/>
    </w:r>
    <w:r>
      <w:rPr>
        <w:rFonts w:cs="Arial"/>
        <w:color w:val="C00000"/>
        <w:sz w:val="14"/>
        <w:szCs w:val="14"/>
      </w:rPr>
      <w:tab/>
    </w:r>
    <w:r w:rsidR="00A06A24">
      <w:rPr>
        <w:rFonts w:cs="Arial"/>
        <w:color w:val="C00000"/>
        <w:sz w:val="14"/>
        <w:szCs w:val="14"/>
      </w:rPr>
      <w:t>SEA V1.</w:t>
    </w:r>
    <w:r w:rsidR="00C131B6">
      <w:rPr>
        <w:rFonts w:cs="Arial"/>
        <w:color w:val="C00000"/>
        <w:sz w:val="14"/>
        <w:szCs w:val="14"/>
      </w:rPr>
      <w:t>4</w:t>
    </w:r>
    <w:r w:rsidRPr="002839D4">
      <w:rPr>
        <w:sz w:val="14"/>
        <w:szCs w:val="14"/>
      </w:rPr>
      <w:tab/>
    </w:r>
  </w:p>
  <w:p w14:paraId="553314BB" w14:textId="5003FE12" w:rsidR="006A3560" w:rsidRPr="004E6805" w:rsidRDefault="006A3560" w:rsidP="00A06A24">
    <w:pPr>
      <w:spacing w:beforeLines="100" w:before="240" w:after="0" w:line="240" w:lineRule="auto"/>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4AF61" w14:textId="77777777" w:rsidR="00435375" w:rsidRDefault="00435375">
      <w:r>
        <w:separator/>
      </w:r>
    </w:p>
  </w:footnote>
  <w:footnote w:type="continuationSeparator" w:id="0">
    <w:p w14:paraId="31E65775" w14:textId="77777777" w:rsidR="00435375" w:rsidRDefault="0043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0690" w14:textId="77777777" w:rsidR="006A3560" w:rsidRPr="007B5070" w:rsidRDefault="006A3560" w:rsidP="007B5070">
    <w:pPr>
      <w:pStyle w:val="Header"/>
      <w:jc w:val="right"/>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22A8" w14:textId="77777777" w:rsidR="006A3560" w:rsidRPr="00E646CE" w:rsidRDefault="006A3560" w:rsidP="007B5070">
    <w:pPr>
      <w:pStyle w:val="Header"/>
      <w:jc w:val="right"/>
      <w:rPr>
        <w:b/>
      </w:rPr>
    </w:pPr>
    <w:r w:rsidRPr="00E646CE">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92B"/>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pStyle w:val="Counterparts"/>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 w15:restartNumberingAfterBreak="0">
    <w:nsid w:val="05147F88"/>
    <w:multiLevelType w:val="multilevel"/>
    <w:tmpl w:val="FD6E0578"/>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bullet"/>
      <w:lvlText w:val="▲"/>
      <w:lvlJc w:val="left"/>
      <w:pPr>
        <w:tabs>
          <w:tab w:val="num" w:pos="1701"/>
        </w:tabs>
        <w:ind w:left="1701" w:hanging="567"/>
      </w:pPr>
      <w:rPr>
        <w:rFonts w:ascii="Arial" w:hAnsi="Arial" w:hint="default"/>
        <w:b/>
        <w:bCs w:val="0"/>
        <w:i w:val="0"/>
        <w:iCs w:val="0"/>
        <w:color w:val="C0000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 w15:restartNumberingAfterBreak="0">
    <w:nsid w:val="13C77961"/>
    <w:multiLevelType w:val="multilevel"/>
    <w:tmpl w:val="0D946748"/>
    <w:lvl w:ilvl="0">
      <w:start w:val="1"/>
      <w:numFmt w:val="decimal"/>
      <w:pStyle w:val="SJBLevel1"/>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701"/>
        </w:tabs>
        <w:ind w:left="1701" w:hanging="851"/>
      </w:pPr>
      <w:rPr>
        <w:rFonts w:hint="default"/>
        <w:b w:val="0"/>
        <w:i w:val="0"/>
        <w:caps w:val="0"/>
        <w:smallCaps w:val="0"/>
        <w:strike w:val="0"/>
        <w:dstrike w:val="0"/>
        <w:vanish w:val="0"/>
        <w:color w:val="auto"/>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263DE8"/>
    <w:multiLevelType w:val="multilevel"/>
    <w:tmpl w:val="7C543E0E"/>
    <w:lvl w:ilvl="0">
      <w:start w:val="1"/>
      <w:numFmt w:val="bullet"/>
      <w:lvlText w:val="▲"/>
      <w:lvlJc w:val="left"/>
      <w:pPr>
        <w:tabs>
          <w:tab w:val="num" w:pos="567"/>
        </w:tabs>
        <w:ind w:left="567" w:hanging="567"/>
      </w:pPr>
      <w:rPr>
        <w:rFonts w:ascii="Arial" w:hAnsi="Arial" w:hint="default"/>
        <w:b/>
        <w:bCs/>
        <w:i w:val="0"/>
        <w:iCs w:val="0"/>
        <w:caps/>
        <w:strike w:val="0"/>
        <w:dstrike w:val="0"/>
        <w:vanish w:val="0"/>
        <w:color w:val="C00000"/>
        <w:sz w:val="16"/>
        <w:szCs w:val="16"/>
        <w:vertAlign w:val="base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4" w15:restartNumberingAfterBreak="0">
    <w:nsid w:val="412745AE"/>
    <w:multiLevelType w:val="multilevel"/>
    <w:tmpl w:val="FBAECA44"/>
    <w:lvl w:ilvl="0">
      <w:start w:val="7"/>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szCs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5" w15:restartNumberingAfterBreak="0">
    <w:nsid w:val="42FF7F02"/>
    <w:multiLevelType w:val="multilevel"/>
    <w:tmpl w:val="EF6EDA6A"/>
    <w:lvl w:ilvl="0">
      <w:start w:val="1"/>
      <w:numFmt w:val="decimal"/>
      <w:lvlText w:val="%1"/>
      <w:lvlJc w:val="left"/>
      <w:pPr>
        <w:ind w:left="567" w:hanging="567"/>
      </w:pPr>
      <w:rPr>
        <w:rFonts w:ascii="Arial Black" w:hAnsi="Arial Black" w:hint="default"/>
        <w:b w:val="0"/>
        <w:i w:val="0"/>
        <w:sz w:val="20"/>
      </w:rPr>
    </w:lvl>
    <w:lvl w:ilvl="1">
      <w:start w:val="1"/>
      <w:numFmt w:val="decimal"/>
      <w:lvlText w:val="%1.%2"/>
      <w:lvlJc w:val="left"/>
      <w:pPr>
        <w:ind w:left="567" w:hanging="567"/>
      </w:pPr>
      <w:rPr>
        <w:rFonts w:ascii="Arial" w:hAnsi="Arial" w:cs="Arial"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Arial" w:hAnsi="Arial" w:cs="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rPr>
    </w:lvl>
  </w:abstractNum>
  <w:abstractNum w:abstractNumId="6" w15:restartNumberingAfterBreak="0">
    <w:nsid w:val="436D68F3"/>
    <w:multiLevelType w:val="multilevel"/>
    <w:tmpl w:val="4594B1C6"/>
    <w:lvl w:ilvl="0">
      <w:start w:val="1"/>
      <w:numFmt w:val="decimal"/>
      <w:lvlText w:val="%1."/>
      <w:lvlJc w:val="left"/>
      <w:pPr>
        <w:tabs>
          <w:tab w:val="num" w:pos="567"/>
        </w:tabs>
        <w:ind w:left="567" w:hanging="567"/>
      </w:pPr>
      <w:rPr>
        <w:rFonts w:hint="default"/>
        <w:b/>
      </w:rPr>
    </w:lvl>
    <w:lvl w:ilvl="1">
      <w:start w:val="1"/>
      <w:numFmt w:val="decimal"/>
      <w:pStyle w:val="Heading2"/>
      <w:lvlText w:val="%1.%2"/>
      <w:lvlJc w:val="left"/>
      <w:pPr>
        <w:tabs>
          <w:tab w:val="num" w:pos="567"/>
        </w:tabs>
        <w:ind w:left="567" w:hanging="567"/>
      </w:pPr>
      <w:rPr>
        <w:rFonts w:hint="default"/>
        <w:b w:val="0"/>
      </w:rPr>
    </w:lvl>
    <w:lvl w:ilvl="2">
      <w:start w:val="1"/>
      <w:numFmt w:val="lowerLetter"/>
      <w:pStyle w:val="Heading3"/>
      <w:lvlText w:val="%3"/>
      <w:lvlJc w:val="left"/>
      <w:pPr>
        <w:tabs>
          <w:tab w:val="num" w:pos="1134"/>
        </w:tabs>
        <w:ind w:left="1134" w:hanging="567"/>
      </w:pPr>
      <w:rPr>
        <w:rFonts w:hint="default"/>
        <w:b w:val="0"/>
      </w:rPr>
    </w:lvl>
    <w:lvl w:ilvl="3">
      <w:start w:val="1"/>
      <w:numFmt w:val="lowerRoman"/>
      <w:pStyle w:val="Heading4"/>
      <w:lvlText w:val="%4"/>
      <w:lvlJc w:val="left"/>
      <w:pPr>
        <w:tabs>
          <w:tab w:val="num" w:pos="1701"/>
        </w:tabs>
        <w:ind w:left="1701" w:hanging="567"/>
      </w:pPr>
      <w:rPr>
        <w:rFonts w:hint="default"/>
        <w:b w:val="0"/>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7" w15:restartNumberingAfterBreak="0">
    <w:nsid w:val="46A30D40"/>
    <w:multiLevelType w:val="multilevel"/>
    <w:tmpl w:val="CD5867BE"/>
    <w:lvl w:ilvl="0">
      <w:start w:val="1"/>
      <w:numFmt w:val="decimal"/>
      <w:lvlText w:val="%1"/>
      <w:lvlJc w:val="left"/>
      <w:pPr>
        <w:tabs>
          <w:tab w:val="num" w:pos="567"/>
        </w:tabs>
        <w:ind w:left="567" w:hanging="567"/>
      </w:pPr>
      <w:rPr>
        <w:rFonts w:hint="default"/>
        <w:b w:val="0"/>
        <w:sz w:val="20"/>
        <w:szCs w:val="2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283"/>
      </w:pPr>
      <w:rPr>
        <w:rFonts w:hint="default"/>
        <w:b w:val="0"/>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8" w15:restartNumberingAfterBreak="0">
    <w:nsid w:val="4860437C"/>
    <w:multiLevelType w:val="multilevel"/>
    <w:tmpl w:val="EB2ED954"/>
    <w:lvl w:ilvl="0">
      <w:start w:val="7"/>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szCs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9" w15:restartNumberingAfterBreak="0">
    <w:nsid w:val="52BF380A"/>
    <w:multiLevelType w:val="multilevel"/>
    <w:tmpl w:val="42B0D984"/>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0" w15:restartNumberingAfterBreak="0">
    <w:nsid w:val="53AD59BF"/>
    <w:multiLevelType w:val="hybridMultilevel"/>
    <w:tmpl w:val="9B941B94"/>
    <w:lvl w:ilvl="0" w:tplc="5920984C">
      <w:start w:val="1"/>
      <w:numFmt w:val="bullet"/>
      <w:lvlText w:val="▲"/>
      <w:lvlJc w:val="left"/>
      <w:pPr>
        <w:ind w:left="720" w:hanging="360"/>
      </w:pPr>
      <w:rPr>
        <w:rFonts w:ascii="Arial" w:hAnsi="Arial" w:cs="Times New Roman" w:hint="default"/>
        <w:b/>
        <w:i w:val="0"/>
        <w:color w:val="C00000"/>
        <w:sz w:val="16"/>
        <w:szCs w:val="16"/>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5FC24DD7"/>
    <w:multiLevelType w:val="hybridMultilevel"/>
    <w:tmpl w:val="CC26602E"/>
    <w:lvl w:ilvl="0" w:tplc="DC7889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41C2CB3"/>
    <w:multiLevelType w:val="hybridMultilevel"/>
    <w:tmpl w:val="077C78F6"/>
    <w:lvl w:ilvl="0" w:tplc="5920984C">
      <w:start w:val="1"/>
      <w:numFmt w:val="bullet"/>
      <w:lvlText w:val="▲"/>
      <w:lvlJc w:val="left"/>
      <w:pPr>
        <w:ind w:left="1854" w:hanging="360"/>
      </w:pPr>
      <w:rPr>
        <w:rFonts w:ascii="Arial" w:hAnsi="Arial" w:hint="default"/>
        <w:b/>
        <w:i w:val="0"/>
        <w:color w:val="C00000"/>
        <w:sz w:val="16"/>
        <w:szCs w:val="16"/>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3" w15:restartNumberingAfterBreak="0">
    <w:nsid w:val="77A82A99"/>
    <w:multiLevelType w:val="hybridMultilevel"/>
    <w:tmpl w:val="E3BC2A42"/>
    <w:lvl w:ilvl="0" w:tplc="5920984C">
      <w:start w:val="1"/>
      <w:numFmt w:val="bullet"/>
      <w:lvlText w:val="▲"/>
      <w:lvlJc w:val="left"/>
      <w:pPr>
        <w:ind w:left="1287" w:hanging="360"/>
      </w:pPr>
      <w:rPr>
        <w:rFonts w:ascii="Arial" w:hAnsi="Arial" w:hint="default"/>
        <w:b/>
        <w:i w:val="0"/>
        <w:color w:val="C00000"/>
        <w:sz w:val="16"/>
        <w:szCs w:val="16"/>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7871522C"/>
    <w:multiLevelType w:val="multilevel"/>
    <w:tmpl w:val="FE9EAF50"/>
    <w:lvl w:ilvl="0">
      <w:start w:val="1"/>
      <w:numFmt w:val="decimal"/>
      <w:lvlText w:val="%1"/>
      <w:lvlJc w:val="left"/>
      <w:pPr>
        <w:tabs>
          <w:tab w:val="num" w:pos="567"/>
        </w:tabs>
        <w:ind w:left="567" w:hanging="567"/>
      </w:pPr>
      <w:rPr>
        <w:rFonts w:hint="default"/>
        <w:b w:val="0"/>
        <w:sz w:val="20"/>
        <w:szCs w:val="20"/>
      </w:rPr>
    </w:lvl>
    <w:lvl w:ilvl="1">
      <w:start w:val="1"/>
      <w:numFmt w:val="decimal"/>
      <w:lvlText w:val="%1.%2"/>
      <w:lvlJc w:val="left"/>
      <w:pPr>
        <w:tabs>
          <w:tab w:val="num" w:pos="567"/>
        </w:tabs>
        <w:ind w:left="567" w:hanging="567"/>
      </w:pPr>
      <w:rPr>
        <w:rFonts w:ascii="Arial" w:hAnsi="Arial" w:cs="Arial" w:hint="default"/>
        <w:b w:val="0"/>
        <w:color w:val="auto"/>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283"/>
      </w:pPr>
      <w:rPr>
        <w:rFonts w:hint="default"/>
        <w:b w:val="0"/>
      </w:rPr>
    </w:lvl>
    <w:lvl w:ilvl="4">
      <w:start w:val="1"/>
      <w:numFmt w:val="lowerLetter"/>
      <w:lvlText w:val="%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15" w15:restartNumberingAfterBreak="0">
    <w:nsid w:val="79E469FE"/>
    <w:multiLevelType w:val="hybridMultilevel"/>
    <w:tmpl w:val="F64ED0EE"/>
    <w:lvl w:ilvl="0" w:tplc="5920984C">
      <w:start w:val="1"/>
      <w:numFmt w:val="bullet"/>
      <w:lvlText w:val="▲"/>
      <w:lvlJc w:val="left"/>
      <w:pPr>
        <w:ind w:left="1287" w:hanging="360"/>
      </w:pPr>
      <w:rPr>
        <w:rFonts w:ascii="Arial" w:hAnsi="Arial" w:hint="default"/>
        <w:b/>
        <w:i w:val="0"/>
        <w:color w:val="C00000"/>
        <w:sz w:val="16"/>
        <w:szCs w:val="16"/>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EBA0ACB"/>
    <w:multiLevelType w:val="hybridMultilevel"/>
    <w:tmpl w:val="ADB47E0C"/>
    <w:lvl w:ilvl="0" w:tplc="406CE32C">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5"/>
  </w:num>
  <w:num w:numId="16">
    <w:abstractNumId w:val="13"/>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16"/>
  </w:num>
  <w:num w:numId="22">
    <w:abstractNumId w:val="7"/>
  </w:num>
  <w:num w:numId="23">
    <w:abstractNumId w:val="5"/>
  </w:num>
  <w:num w:numId="24">
    <w:abstractNumId w:val="9"/>
  </w:num>
  <w:num w:numId="25">
    <w:abstractNumId w:val="9"/>
  </w:num>
  <w:num w:numId="26">
    <w:abstractNumId w:val="9"/>
  </w:num>
  <w:num w:numId="27">
    <w:abstractNumId w:val="9"/>
  </w:num>
  <w:num w:numId="28">
    <w:abstractNumId w:val="9"/>
  </w:num>
  <w:num w:numId="29">
    <w:abstractNumId w:val="9"/>
  </w:num>
  <w:num w:numId="30">
    <w:abstractNumId w:val="14"/>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170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9B"/>
    <w:rsid w:val="000026FA"/>
    <w:rsid w:val="00004147"/>
    <w:rsid w:val="0000486C"/>
    <w:rsid w:val="00006544"/>
    <w:rsid w:val="00006B08"/>
    <w:rsid w:val="000070D8"/>
    <w:rsid w:val="00014A63"/>
    <w:rsid w:val="00021031"/>
    <w:rsid w:val="0002588B"/>
    <w:rsid w:val="00027D3E"/>
    <w:rsid w:val="0003022D"/>
    <w:rsid w:val="00030CD9"/>
    <w:rsid w:val="000353F8"/>
    <w:rsid w:val="00036FCD"/>
    <w:rsid w:val="000440C9"/>
    <w:rsid w:val="0004427D"/>
    <w:rsid w:val="0004654A"/>
    <w:rsid w:val="000514B0"/>
    <w:rsid w:val="00053528"/>
    <w:rsid w:val="00053BDF"/>
    <w:rsid w:val="000554A9"/>
    <w:rsid w:val="00055B2A"/>
    <w:rsid w:val="000570E3"/>
    <w:rsid w:val="0005769A"/>
    <w:rsid w:val="00057D23"/>
    <w:rsid w:val="00061C94"/>
    <w:rsid w:val="00065433"/>
    <w:rsid w:val="0006684C"/>
    <w:rsid w:val="00066F87"/>
    <w:rsid w:val="0006752B"/>
    <w:rsid w:val="00071D33"/>
    <w:rsid w:val="00071D5E"/>
    <w:rsid w:val="00072BCF"/>
    <w:rsid w:val="000733B6"/>
    <w:rsid w:val="00073C76"/>
    <w:rsid w:val="00080389"/>
    <w:rsid w:val="0008246C"/>
    <w:rsid w:val="00083553"/>
    <w:rsid w:val="0009012F"/>
    <w:rsid w:val="00092523"/>
    <w:rsid w:val="00093DB2"/>
    <w:rsid w:val="0009450C"/>
    <w:rsid w:val="000A04B1"/>
    <w:rsid w:val="000A5E7D"/>
    <w:rsid w:val="000A7CF9"/>
    <w:rsid w:val="000B43A1"/>
    <w:rsid w:val="000B4AEF"/>
    <w:rsid w:val="000B5171"/>
    <w:rsid w:val="000B59D3"/>
    <w:rsid w:val="000B5BBF"/>
    <w:rsid w:val="000C2145"/>
    <w:rsid w:val="000C2C03"/>
    <w:rsid w:val="000C6079"/>
    <w:rsid w:val="000D2A20"/>
    <w:rsid w:val="000D738E"/>
    <w:rsid w:val="000E418D"/>
    <w:rsid w:val="000F1AD2"/>
    <w:rsid w:val="000F39FE"/>
    <w:rsid w:val="00100EA5"/>
    <w:rsid w:val="00100F8C"/>
    <w:rsid w:val="001025DB"/>
    <w:rsid w:val="00102D0C"/>
    <w:rsid w:val="00102FB1"/>
    <w:rsid w:val="001054AA"/>
    <w:rsid w:val="00107580"/>
    <w:rsid w:val="001100E3"/>
    <w:rsid w:val="00111D56"/>
    <w:rsid w:val="00113F8E"/>
    <w:rsid w:val="00115081"/>
    <w:rsid w:val="0011514A"/>
    <w:rsid w:val="001153DA"/>
    <w:rsid w:val="00115DF7"/>
    <w:rsid w:val="001162A3"/>
    <w:rsid w:val="001167A6"/>
    <w:rsid w:val="00117614"/>
    <w:rsid w:val="00117BAC"/>
    <w:rsid w:val="00120244"/>
    <w:rsid w:val="00120696"/>
    <w:rsid w:val="00120E24"/>
    <w:rsid w:val="00121387"/>
    <w:rsid w:val="001214AC"/>
    <w:rsid w:val="0012238F"/>
    <w:rsid w:val="00122662"/>
    <w:rsid w:val="0012366A"/>
    <w:rsid w:val="00123DED"/>
    <w:rsid w:val="00130233"/>
    <w:rsid w:val="00130266"/>
    <w:rsid w:val="0014204E"/>
    <w:rsid w:val="00144B24"/>
    <w:rsid w:val="001459F4"/>
    <w:rsid w:val="00146B4C"/>
    <w:rsid w:val="0014781E"/>
    <w:rsid w:val="00154676"/>
    <w:rsid w:val="001568E8"/>
    <w:rsid w:val="00164D26"/>
    <w:rsid w:val="00173170"/>
    <w:rsid w:val="00174C02"/>
    <w:rsid w:val="001765E5"/>
    <w:rsid w:val="00180D78"/>
    <w:rsid w:val="00181F6B"/>
    <w:rsid w:val="0018353F"/>
    <w:rsid w:val="00190034"/>
    <w:rsid w:val="001902DB"/>
    <w:rsid w:val="00195DDB"/>
    <w:rsid w:val="001A18D7"/>
    <w:rsid w:val="001A4EF0"/>
    <w:rsid w:val="001A6482"/>
    <w:rsid w:val="001A6B2E"/>
    <w:rsid w:val="001B2FB6"/>
    <w:rsid w:val="001C2CCC"/>
    <w:rsid w:val="001C6579"/>
    <w:rsid w:val="001D0489"/>
    <w:rsid w:val="001D0E9E"/>
    <w:rsid w:val="001D1336"/>
    <w:rsid w:val="001E115E"/>
    <w:rsid w:val="001E1A34"/>
    <w:rsid w:val="001E2DFD"/>
    <w:rsid w:val="001F05D2"/>
    <w:rsid w:val="001F0A4F"/>
    <w:rsid w:val="001F1667"/>
    <w:rsid w:val="002078E3"/>
    <w:rsid w:val="0021205D"/>
    <w:rsid w:val="002131F7"/>
    <w:rsid w:val="002142F5"/>
    <w:rsid w:val="00214632"/>
    <w:rsid w:val="00215A10"/>
    <w:rsid w:val="002176B0"/>
    <w:rsid w:val="00220375"/>
    <w:rsid w:val="00220B81"/>
    <w:rsid w:val="00221704"/>
    <w:rsid w:val="00222BA4"/>
    <w:rsid w:val="002279DC"/>
    <w:rsid w:val="00227FC8"/>
    <w:rsid w:val="002303D8"/>
    <w:rsid w:val="002368E4"/>
    <w:rsid w:val="002401B8"/>
    <w:rsid w:val="00243A75"/>
    <w:rsid w:val="002448BB"/>
    <w:rsid w:val="002521F6"/>
    <w:rsid w:val="002523A4"/>
    <w:rsid w:val="00253D6C"/>
    <w:rsid w:val="00254DD5"/>
    <w:rsid w:val="00256203"/>
    <w:rsid w:val="00261029"/>
    <w:rsid w:val="00261C68"/>
    <w:rsid w:val="00265B51"/>
    <w:rsid w:val="00274596"/>
    <w:rsid w:val="00277354"/>
    <w:rsid w:val="002806A2"/>
    <w:rsid w:val="00280E4F"/>
    <w:rsid w:val="002827EC"/>
    <w:rsid w:val="00285A9A"/>
    <w:rsid w:val="00285E93"/>
    <w:rsid w:val="00296354"/>
    <w:rsid w:val="002A1300"/>
    <w:rsid w:val="002A2DAD"/>
    <w:rsid w:val="002A50AD"/>
    <w:rsid w:val="002A575B"/>
    <w:rsid w:val="002B173F"/>
    <w:rsid w:val="002B6782"/>
    <w:rsid w:val="002B67D8"/>
    <w:rsid w:val="002C489B"/>
    <w:rsid w:val="002C5345"/>
    <w:rsid w:val="002C5561"/>
    <w:rsid w:val="002C59AB"/>
    <w:rsid w:val="002C7A92"/>
    <w:rsid w:val="002D038E"/>
    <w:rsid w:val="002D0548"/>
    <w:rsid w:val="002D07CB"/>
    <w:rsid w:val="002D082F"/>
    <w:rsid w:val="002D1617"/>
    <w:rsid w:val="002D3030"/>
    <w:rsid w:val="002D40FB"/>
    <w:rsid w:val="002D4966"/>
    <w:rsid w:val="002D765F"/>
    <w:rsid w:val="002E00FE"/>
    <w:rsid w:val="002E1B0A"/>
    <w:rsid w:val="002E2DEF"/>
    <w:rsid w:val="002E3BD2"/>
    <w:rsid w:val="002F0265"/>
    <w:rsid w:val="002F362B"/>
    <w:rsid w:val="002F37F5"/>
    <w:rsid w:val="002F74A1"/>
    <w:rsid w:val="002F79A0"/>
    <w:rsid w:val="0030216C"/>
    <w:rsid w:val="00303B29"/>
    <w:rsid w:val="003047E2"/>
    <w:rsid w:val="00306377"/>
    <w:rsid w:val="00310895"/>
    <w:rsid w:val="00313377"/>
    <w:rsid w:val="003138EC"/>
    <w:rsid w:val="00313F6E"/>
    <w:rsid w:val="00314D4D"/>
    <w:rsid w:val="003212CF"/>
    <w:rsid w:val="00321383"/>
    <w:rsid w:val="00323860"/>
    <w:rsid w:val="0032490D"/>
    <w:rsid w:val="00327DFF"/>
    <w:rsid w:val="003302E6"/>
    <w:rsid w:val="00331B5D"/>
    <w:rsid w:val="00335212"/>
    <w:rsid w:val="00335E10"/>
    <w:rsid w:val="003361C5"/>
    <w:rsid w:val="0034760C"/>
    <w:rsid w:val="00350090"/>
    <w:rsid w:val="00354E0D"/>
    <w:rsid w:val="00361534"/>
    <w:rsid w:val="00363DAC"/>
    <w:rsid w:val="003674E6"/>
    <w:rsid w:val="003675B4"/>
    <w:rsid w:val="00367AC1"/>
    <w:rsid w:val="00367FB0"/>
    <w:rsid w:val="00371F94"/>
    <w:rsid w:val="0037369A"/>
    <w:rsid w:val="00374089"/>
    <w:rsid w:val="00377108"/>
    <w:rsid w:val="00383634"/>
    <w:rsid w:val="003845EB"/>
    <w:rsid w:val="0039039C"/>
    <w:rsid w:val="003904E3"/>
    <w:rsid w:val="00390CA5"/>
    <w:rsid w:val="00394E6A"/>
    <w:rsid w:val="00395F5B"/>
    <w:rsid w:val="003A0E02"/>
    <w:rsid w:val="003A4C61"/>
    <w:rsid w:val="003A5DBE"/>
    <w:rsid w:val="003A6184"/>
    <w:rsid w:val="003B47C7"/>
    <w:rsid w:val="003B6AA9"/>
    <w:rsid w:val="003B7BAE"/>
    <w:rsid w:val="003C2865"/>
    <w:rsid w:val="003C5CFA"/>
    <w:rsid w:val="003D2641"/>
    <w:rsid w:val="003D2AFC"/>
    <w:rsid w:val="003D3688"/>
    <w:rsid w:val="003D38B2"/>
    <w:rsid w:val="003D78FD"/>
    <w:rsid w:val="003E0ECB"/>
    <w:rsid w:val="003E1EA5"/>
    <w:rsid w:val="003E2C60"/>
    <w:rsid w:val="003E3550"/>
    <w:rsid w:val="003E4B2A"/>
    <w:rsid w:val="003E5E24"/>
    <w:rsid w:val="003E748D"/>
    <w:rsid w:val="003F4F27"/>
    <w:rsid w:val="003F5E0F"/>
    <w:rsid w:val="003F7395"/>
    <w:rsid w:val="004044D0"/>
    <w:rsid w:val="004047FD"/>
    <w:rsid w:val="00404C19"/>
    <w:rsid w:val="00404EBA"/>
    <w:rsid w:val="004060E7"/>
    <w:rsid w:val="00407318"/>
    <w:rsid w:val="004139C8"/>
    <w:rsid w:val="0041426C"/>
    <w:rsid w:val="00420FF5"/>
    <w:rsid w:val="004212EB"/>
    <w:rsid w:val="00422073"/>
    <w:rsid w:val="00425895"/>
    <w:rsid w:val="0042628A"/>
    <w:rsid w:val="00426596"/>
    <w:rsid w:val="0042695E"/>
    <w:rsid w:val="0042717F"/>
    <w:rsid w:val="00427F36"/>
    <w:rsid w:val="004307D2"/>
    <w:rsid w:val="004334B0"/>
    <w:rsid w:val="00435375"/>
    <w:rsid w:val="00441914"/>
    <w:rsid w:val="00443369"/>
    <w:rsid w:val="004446DE"/>
    <w:rsid w:val="004479EE"/>
    <w:rsid w:val="0045287A"/>
    <w:rsid w:val="00452CB1"/>
    <w:rsid w:val="00452CE2"/>
    <w:rsid w:val="00456B40"/>
    <w:rsid w:val="00472A43"/>
    <w:rsid w:val="00474A2B"/>
    <w:rsid w:val="00477CBF"/>
    <w:rsid w:val="00480DC9"/>
    <w:rsid w:val="00484170"/>
    <w:rsid w:val="0048519B"/>
    <w:rsid w:val="00487598"/>
    <w:rsid w:val="0048763A"/>
    <w:rsid w:val="00495101"/>
    <w:rsid w:val="0049606F"/>
    <w:rsid w:val="00496420"/>
    <w:rsid w:val="004A0691"/>
    <w:rsid w:val="004A10CD"/>
    <w:rsid w:val="004A2573"/>
    <w:rsid w:val="004A469B"/>
    <w:rsid w:val="004A4CAA"/>
    <w:rsid w:val="004B30A3"/>
    <w:rsid w:val="004B361C"/>
    <w:rsid w:val="004B5C5E"/>
    <w:rsid w:val="004B6426"/>
    <w:rsid w:val="004C1CC9"/>
    <w:rsid w:val="004C5CD4"/>
    <w:rsid w:val="004D0365"/>
    <w:rsid w:val="004D0D24"/>
    <w:rsid w:val="004D1A1C"/>
    <w:rsid w:val="004D22D2"/>
    <w:rsid w:val="004D4690"/>
    <w:rsid w:val="004D4E11"/>
    <w:rsid w:val="004D6637"/>
    <w:rsid w:val="004E11D5"/>
    <w:rsid w:val="004E6805"/>
    <w:rsid w:val="004E704F"/>
    <w:rsid w:val="004F43F9"/>
    <w:rsid w:val="004F5893"/>
    <w:rsid w:val="004F7DF5"/>
    <w:rsid w:val="005005AF"/>
    <w:rsid w:val="00506EDE"/>
    <w:rsid w:val="00507CAA"/>
    <w:rsid w:val="005129A7"/>
    <w:rsid w:val="00513DB7"/>
    <w:rsid w:val="00514569"/>
    <w:rsid w:val="00516D1C"/>
    <w:rsid w:val="005179B6"/>
    <w:rsid w:val="00524494"/>
    <w:rsid w:val="0052496F"/>
    <w:rsid w:val="00524AAB"/>
    <w:rsid w:val="00525D1D"/>
    <w:rsid w:val="005308CF"/>
    <w:rsid w:val="00530D99"/>
    <w:rsid w:val="00531517"/>
    <w:rsid w:val="005317F5"/>
    <w:rsid w:val="005320A1"/>
    <w:rsid w:val="0053505D"/>
    <w:rsid w:val="00535E91"/>
    <w:rsid w:val="005360BC"/>
    <w:rsid w:val="00536C21"/>
    <w:rsid w:val="00542C55"/>
    <w:rsid w:val="00543043"/>
    <w:rsid w:val="005455D0"/>
    <w:rsid w:val="0054610D"/>
    <w:rsid w:val="00550676"/>
    <w:rsid w:val="00556448"/>
    <w:rsid w:val="00556721"/>
    <w:rsid w:val="00556ED4"/>
    <w:rsid w:val="005602D7"/>
    <w:rsid w:val="005607CA"/>
    <w:rsid w:val="005630DB"/>
    <w:rsid w:val="00566437"/>
    <w:rsid w:val="005726C5"/>
    <w:rsid w:val="00577A00"/>
    <w:rsid w:val="00581EAB"/>
    <w:rsid w:val="0058471A"/>
    <w:rsid w:val="0058491C"/>
    <w:rsid w:val="00584B7D"/>
    <w:rsid w:val="0058579F"/>
    <w:rsid w:val="00590EB0"/>
    <w:rsid w:val="00593CBB"/>
    <w:rsid w:val="0059461F"/>
    <w:rsid w:val="00595CFB"/>
    <w:rsid w:val="00596C14"/>
    <w:rsid w:val="00597FC7"/>
    <w:rsid w:val="005A5DCE"/>
    <w:rsid w:val="005B31E8"/>
    <w:rsid w:val="005B3D1F"/>
    <w:rsid w:val="005B628A"/>
    <w:rsid w:val="005C0E04"/>
    <w:rsid w:val="005C1270"/>
    <w:rsid w:val="005C1350"/>
    <w:rsid w:val="005C209C"/>
    <w:rsid w:val="005C33A3"/>
    <w:rsid w:val="005C57AF"/>
    <w:rsid w:val="005D1D70"/>
    <w:rsid w:val="005D5427"/>
    <w:rsid w:val="005D5996"/>
    <w:rsid w:val="005D7786"/>
    <w:rsid w:val="005F0A6D"/>
    <w:rsid w:val="005F192C"/>
    <w:rsid w:val="005F47AA"/>
    <w:rsid w:val="005F6E92"/>
    <w:rsid w:val="005F730A"/>
    <w:rsid w:val="00600101"/>
    <w:rsid w:val="00602616"/>
    <w:rsid w:val="00604F17"/>
    <w:rsid w:val="00606F10"/>
    <w:rsid w:val="00610F67"/>
    <w:rsid w:val="0061772E"/>
    <w:rsid w:val="006214A4"/>
    <w:rsid w:val="00623244"/>
    <w:rsid w:val="006232CB"/>
    <w:rsid w:val="0063219F"/>
    <w:rsid w:val="00633451"/>
    <w:rsid w:val="0063416F"/>
    <w:rsid w:val="00640133"/>
    <w:rsid w:val="006417EB"/>
    <w:rsid w:val="0065107D"/>
    <w:rsid w:val="00655FEE"/>
    <w:rsid w:val="00656303"/>
    <w:rsid w:val="00656B37"/>
    <w:rsid w:val="00660AEC"/>
    <w:rsid w:val="00660DBE"/>
    <w:rsid w:val="0066228A"/>
    <w:rsid w:val="00662A92"/>
    <w:rsid w:val="00663EA2"/>
    <w:rsid w:val="0066561F"/>
    <w:rsid w:val="00665D5D"/>
    <w:rsid w:val="0066791B"/>
    <w:rsid w:val="00670CCC"/>
    <w:rsid w:val="00672E08"/>
    <w:rsid w:val="006748A1"/>
    <w:rsid w:val="00674D88"/>
    <w:rsid w:val="006750DF"/>
    <w:rsid w:val="00680DE3"/>
    <w:rsid w:val="00687B48"/>
    <w:rsid w:val="00687E5F"/>
    <w:rsid w:val="00690DE3"/>
    <w:rsid w:val="0069484A"/>
    <w:rsid w:val="00695C85"/>
    <w:rsid w:val="00695FFA"/>
    <w:rsid w:val="006968F0"/>
    <w:rsid w:val="00696C03"/>
    <w:rsid w:val="00697248"/>
    <w:rsid w:val="006A18D4"/>
    <w:rsid w:val="006A200A"/>
    <w:rsid w:val="006A2C91"/>
    <w:rsid w:val="006A3560"/>
    <w:rsid w:val="006A3DD2"/>
    <w:rsid w:val="006A4F9C"/>
    <w:rsid w:val="006A5053"/>
    <w:rsid w:val="006A7A11"/>
    <w:rsid w:val="006B4182"/>
    <w:rsid w:val="006C017D"/>
    <w:rsid w:val="006C0E32"/>
    <w:rsid w:val="006C585D"/>
    <w:rsid w:val="006C6274"/>
    <w:rsid w:val="006C7962"/>
    <w:rsid w:val="006D276E"/>
    <w:rsid w:val="006E6E0E"/>
    <w:rsid w:val="006E6E3D"/>
    <w:rsid w:val="006E7467"/>
    <w:rsid w:val="006E78FD"/>
    <w:rsid w:val="006F0359"/>
    <w:rsid w:val="006F36B3"/>
    <w:rsid w:val="006F3D90"/>
    <w:rsid w:val="006F5044"/>
    <w:rsid w:val="006F67BA"/>
    <w:rsid w:val="00700385"/>
    <w:rsid w:val="00704C67"/>
    <w:rsid w:val="0070504B"/>
    <w:rsid w:val="007058CA"/>
    <w:rsid w:val="00706DE1"/>
    <w:rsid w:val="00710F74"/>
    <w:rsid w:val="007141C0"/>
    <w:rsid w:val="007142EF"/>
    <w:rsid w:val="007149F8"/>
    <w:rsid w:val="00714C7D"/>
    <w:rsid w:val="00716E9F"/>
    <w:rsid w:val="00723924"/>
    <w:rsid w:val="00724384"/>
    <w:rsid w:val="00733D4B"/>
    <w:rsid w:val="00741714"/>
    <w:rsid w:val="00743317"/>
    <w:rsid w:val="00743AD3"/>
    <w:rsid w:val="0074605D"/>
    <w:rsid w:val="007501A1"/>
    <w:rsid w:val="00754256"/>
    <w:rsid w:val="0075576A"/>
    <w:rsid w:val="007638AC"/>
    <w:rsid w:val="00766E82"/>
    <w:rsid w:val="0077425B"/>
    <w:rsid w:val="0077440D"/>
    <w:rsid w:val="007755AA"/>
    <w:rsid w:val="007757C2"/>
    <w:rsid w:val="00777784"/>
    <w:rsid w:val="00780DDD"/>
    <w:rsid w:val="00782E05"/>
    <w:rsid w:val="00783685"/>
    <w:rsid w:val="00784B3B"/>
    <w:rsid w:val="007929ED"/>
    <w:rsid w:val="00792E84"/>
    <w:rsid w:val="007A0C4A"/>
    <w:rsid w:val="007A334D"/>
    <w:rsid w:val="007A35CA"/>
    <w:rsid w:val="007A441F"/>
    <w:rsid w:val="007B194B"/>
    <w:rsid w:val="007B1A6E"/>
    <w:rsid w:val="007B5070"/>
    <w:rsid w:val="007B58E2"/>
    <w:rsid w:val="007B7F81"/>
    <w:rsid w:val="007C41BD"/>
    <w:rsid w:val="007C4593"/>
    <w:rsid w:val="007C510E"/>
    <w:rsid w:val="007C74BB"/>
    <w:rsid w:val="007D25C3"/>
    <w:rsid w:val="007D321F"/>
    <w:rsid w:val="007D34D6"/>
    <w:rsid w:val="007D3A23"/>
    <w:rsid w:val="007D40C0"/>
    <w:rsid w:val="007D5858"/>
    <w:rsid w:val="007E3E15"/>
    <w:rsid w:val="007E5370"/>
    <w:rsid w:val="007E6C58"/>
    <w:rsid w:val="007F16D5"/>
    <w:rsid w:val="007F4238"/>
    <w:rsid w:val="007F6337"/>
    <w:rsid w:val="007F7804"/>
    <w:rsid w:val="008007DD"/>
    <w:rsid w:val="0080258A"/>
    <w:rsid w:val="008038F9"/>
    <w:rsid w:val="00806E97"/>
    <w:rsid w:val="00811014"/>
    <w:rsid w:val="008119F9"/>
    <w:rsid w:val="008227C2"/>
    <w:rsid w:val="00822CCA"/>
    <w:rsid w:val="0083112A"/>
    <w:rsid w:val="00836897"/>
    <w:rsid w:val="0083765A"/>
    <w:rsid w:val="00840E2D"/>
    <w:rsid w:val="0084546A"/>
    <w:rsid w:val="00846310"/>
    <w:rsid w:val="008477D4"/>
    <w:rsid w:val="0085023B"/>
    <w:rsid w:val="00850334"/>
    <w:rsid w:val="008509B5"/>
    <w:rsid w:val="00850D33"/>
    <w:rsid w:val="00854D13"/>
    <w:rsid w:val="008560EF"/>
    <w:rsid w:val="008624FA"/>
    <w:rsid w:val="0086533B"/>
    <w:rsid w:val="00866215"/>
    <w:rsid w:val="0086752F"/>
    <w:rsid w:val="00872528"/>
    <w:rsid w:val="00874B6E"/>
    <w:rsid w:val="00875EE8"/>
    <w:rsid w:val="0088323F"/>
    <w:rsid w:val="0088380A"/>
    <w:rsid w:val="0088579F"/>
    <w:rsid w:val="00887D1A"/>
    <w:rsid w:val="00891797"/>
    <w:rsid w:val="00897882"/>
    <w:rsid w:val="008A2AF3"/>
    <w:rsid w:val="008A7F0E"/>
    <w:rsid w:val="008B19F2"/>
    <w:rsid w:val="008B3141"/>
    <w:rsid w:val="008B5C5B"/>
    <w:rsid w:val="008B7C99"/>
    <w:rsid w:val="008B7E90"/>
    <w:rsid w:val="008C0712"/>
    <w:rsid w:val="008C328B"/>
    <w:rsid w:val="008C374C"/>
    <w:rsid w:val="008C59F5"/>
    <w:rsid w:val="008C69ED"/>
    <w:rsid w:val="008C7030"/>
    <w:rsid w:val="008C70E6"/>
    <w:rsid w:val="008D7AC2"/>
    <w:rsid w:val="008E1BE7"/>
    <w:rsid w:val="008E509A"/>
    <w:rsid w:val="008E6DA0"/>
    <w:rsid w:val="008E6E05"/>
    <w:rsid w:val="008F273A"/>
    <w:rsid w:val="008F44BE"/>
    <w:rsid w:val="008F5BDF"/>
    <w:rsid w:val="008F6F68"/>
    <w:rsid w:val="008F7F8E"/>
    <w:rsid w:val="00902721"/>
    <w:rsid w:val="009037AD"/>
    <w:rsid w:val="00910225"/>
    <w:rsid w:val="009116E9"/>
    <w:rsid w:val="009158C6"/>
    <w:rsid w:val="00916711"/>
    <w:rsid w:val="009177AF"/>
    <w:rsid w:val="00920A4D"/>
    <w:rsid w:val="009245E8"/>
    <w:rsid w:val="00925542"/>
    <w:rsid w:val="009256A7"/>
    <w:rsid w:val="0092599F"/>
    <w:rsid w:val="00925C79"/>
    <w:rsid w:val="00934320"/>
    <w:rsid w:val="009345A0"/>
    <w:rsid w:val="00940DB2"/>
    <w:rsid w:val="00945C9E"/>
    <w:rsid w:val="009478B1"/>
    <w:rsid w:val="00951144"/>
    <w:rsid w:val="009530BC"/>
    <w:rsid w:val="009620A6"/>
    <w:rsid w:val="00964773"/>
    <w:rsid w:val="00967002"/>
    <w:rsid w:val="00967151"/>
    <w:rsid w:val="00972BC1"/>
    <w:rsid w:val="009738DD"/>
    <w:rsid w:val="00975C0F"/>
    <w:rsid w:val="00977CAF"/>
    <w:rsid w:val="00980126"/>
    <w:rsid w:val="009802BB"/>
    <w:rsid w:val="009843C8"/>
    <w:rsid w:val="00993011"/>
    <w:rsid w:val="00993462"/>
    <w:rsid w:val="00997D09"/>
    <w:rsid w:val="009A0353"/>
    <w:rsid w:val="009A23DF"/>
    <w:rsid w:val="009A2AD4"/>
    <w:rsid w:val="009A4BA3"/>
    <w:rsid w:val="009A74A7"/>
    <w:rsid w:val="009B1B99"/>
    <w:rsid w:val="009B53C1"/>
    <w:rsid w:val="009C10EF"/>
    <w:rsid w:val="009C1C28"/>
    <w:rsid w:val="009C5B95"/>
    <w:rsid w:val="009C7A77"/>
    <w:rsid w:val="009D01B1"/>
    <w:rsid w:val="009D0DAC"/>
    <w:rsid w:val="009D1C80"/>
    <w:rsid w:val="009D4E29"/>
    <w:rsid w:val="009D529B"/>
    <w:rsid w:val="009D77C2"/>
    <w:rsid w:val="009E2502"/>
    <w:rsid w:val="009E3601"/>
    <w:rsid w:val="009F0DDB"/>
    <w:rsid w:val="009F5BF6"/>
    <w:rsid w:val="009F65E4"/>
    <w:rsid w:val="00A019A6"/>
    <w:rsid w:val="00A02136"/>
    <w:rsid w:val="00A033E7"/>
    <w:rsid w:val="00A06A24"/>
    <w:rsid w:val="00A07EEC"/>
    <w:rsid w:val="00A11739"/>
    <w:rsid w:val="00A11BC1"/>
    <w:rsid w:val="00A11FCF"/>
    <w:rsid w:val="00A12099"/>
    <w:rsid w:val="00A120E5"/>
    <w:rsid w:val="00A12EE0"/>
    <w:rsid w:val="00A16401"/>
    <w:rsid w:val="00A1733B"/>
    <w:rsid w:val="00A17E3F"/>
    <w:rsid w:val="00A2078B"/>
    <w:rsid w:val="00A211F5"/>
    <w:rsid w:val="00A22BF7"/>
    <w:rsid w:val="00A23D6A"/>
    <w:rsid w:val="00A273D1"/>
    <w:rsid w:val="00A300F0"/>
    <w:rsid w:val="00A3060A"/>
    <w:rsid w:val="00A3453B"/>
    <w:rsid w:val="00A3619F"/>
    <w:rsid w:val="00A36A82"/>
    <w:rsid w:val="00A4058A"/>
    <w:rsid w:val="00A41261"/>
    <w:rsid w:val="00A45AFA"/>
    <w:rsid w:val="00A529D3"/>
    <w:rsid w:val="00A5543E"/>
    <w:rsid w:val="00A5760A"/>
    <w:rsid w:val="00A576F7"/>
    <w:rsid w:val="00A61458"/>
    <w:rsid w:val="00A619E7"/>
    <w:rsid w:val="00A63B98"/>
    <w:rsid w:val="00A72013"/>
    <w:rsid w:val="00A77ABA"/>
    <w:rsid w:val="00A77F4C"/>
    <w:rsid w:val="00A8199B"/>
    <w:rsid w:val="00A83306"/>
    <w:rsid w:val="00A8380C"/>
    <w:rsid w:val="00A847DF"/>
    <w:rsid w:val="00A8491E"/>
    <w:rsid w:val="00A86080"/>
    <w:rsid w:val="00A90294"/>
    <w:rsid w:val="00A91E1B"/>
    <w:rsid w:val="00A92928"/>
    <w:rsid w:val="00A97993"/>
    <w:rsid w:val="00AA2861"/>
    <w:rsid w:val="00AA28A3"/>
    <w:rsid w:val="00AA2949"/>
    <w:rsid w:val="00AA58E7"/>
    <w:rsid w:val="00AA5B1D"/>
    <w:rsid w:val="00AA6ACE"/>
    <w:rsid w:val="00AB19E9"/>
    <w:rsid w:val="00AB1C27"/>
    <w:rsid w:val="00AB29E9"/>
    <w:rsid w:val="00AB3C69"/>
    <w:rsid w:val="00AC5BBB"/>
    <w:rsid w:val="00AD011B"/>
    <w:rsid w:val="00AD15B1"/>
    <w:rsid w:val="00AD1727"/>
    <w:rsid w:val="00AD3A37"/>
    <w:rsid w:val="00AD5FA9"/>
    <w:rsid w:val="00AD6897"/>
    <w:rsid w:val="00AE0F1D"/>
    <w:rsid w:val="00AE7B90"/>
    <w:rsid w:val="00AF0CC1"/>
    <w:rsid w:val="00AF103B"/>
    <w:rsid w:val="00AF29E2"/>
    <w:rsid w:val="00AF2CE6"/>
    <w:rsid w:val="00AF4329"/>
    <w:rsid w:val="00AF46F5"/>
    <w:rsid w:val="00AF590B"/>
    <w:rsid w:val="00AF5939"/>
    <w:rsid w:val="00AF5D03"/>
    <w:rsid w:val="00AF7999"/>
    <w:rsid w:val="00B051AB"/>
    <w:rsid w:val="00B05B20"/>
    <w:rsid w:val="00B13AC1"/>
    <w:rsid w:val="00B14C0E"/>
    <w:rsid w:val="00B1549F"/>
    <w:rsid w:val="00B15ACC"/>
    <w:rsid w:val="00B16F13"/>
    <w:rsid w:val="00B207CE"/>
    <w:rsid w:val="00B20860"/>
    <w:rsid w:val="00B23DD0"/>
    <w:rsid w:val="00B25EA4"/>
    <w:rsid w:val="00B306B5"/>
    <w:rsid w:val="00B3251D"/>
    <w:rsid w:val="00B370AD"/>
    <w:rsid w:val="00B43F7E"/>
    <w:rsid w:val="00B47C8D"/>
    <w:rsid w:val="00B50DCD"/>
    <w:rsid w:val="00B53072"/>
    <w:rsid w:val="00B54D8D"/>
    <w:rsid w:val="00B60CB5"/>
    <w:rsid w:val="00B641AC"/>
    <w:rsid w:val="00B661FF"/>
    <w:rsid w:val="00B6645B"/>
    <w:rsid w:val="00B67C7D"/>
    <w:rsid w:val="00B67C8E"/>
    <w:rsid w:val="00B809F0"/>
    <w:rsid w:val="00B80FB0"/>
    <w:rsid w:val="00B83577"/>
    <w:rsid w:val="00B8482C"/>
    <w:rsid w:val="00B87984"/>
    <w:rsid w:val="00B87AE7"/>
    <w:rsid w:val="00B968BD"/>
    <w:rsid w:val="00BA081A"/>
    <w:rsid w:val="00BA3B9C"/>
    <w:rsid w:val="00BA49BB"/>
    <w:rsid w:val="00BA6356"/>
    <w:rsid w:val="00BA6C71"/>
    <w:rsid w:val="00BA7734"/>
    <w:rsid w:val="00BB68F0"/>
    <w:rsid w:val="00BC1CF7"/>
    <w:rsid w:val="00BD132E"/>
    <w:rsid w:val="00BD3458"/>
    <w:rsid w:val="00BD440C"/>
    <w:rsid w:val="00BE45F9"/>
    <w:rsid w:val="00BE52EA"/>
    <w:rsid w:val="00BE555F"/>
    <w:rsid w:val="00BE7982"/>
    <w:rsid w:val="00BF1326"/>
    <w:rsid w:val="00BF31EE"/>
    <w:rsid w:val="00BF51CF"/>
    <w:rsid w:val="00BF5CDC"/>
    <w:rsid w:val="00C01588"/>
    <w:rsid w:val="00C02180"/>
    <w:rsid w:val="00C0456E"/>
    <w:rsid w:val="00C04803"/>
    <w:rsid w:val="00C071B2"/>
    <w:rsid w:val="00C10388"/>
    <w:rsid w:val="00C12454"/>
    <w:rsid w:val="00C12655"/>
    <w:rsid w:val="00C131B6"/>
    <w:rsid w:val="00C136D0"/>
    <w:rsid w:val="00C20463"/>
    <w:rsid w:val="00C224B4"/>
    <w:rsid w:val="00C22F1C"/>
    <w:rsid w:val="00C2698D"/>
    <w:rsid w:val="00C27B79"/>
    <w:rsid w:val="00C31FCF"/>
    <w:rsid w:val="00C32D8F"/>
    <w:rsid w:val="00C34F57"/>
    <w:rsid w:val="00C36C20"/>
    <w:rsid w:val="00C40B5F"/>
    <w:rsid w:val="00C4132D"/>
    <w:rsid w:val="00C46FD2"/>
    <w:rsid w:val="00C51318"/>
    <w:rsid w:val="00C53221"/>
    <w:rsid w:val="00C56A7F"/>
    <w:rsid w:val="00C62DB0"/>
    <w:rsid w:val="00C63E95"/>
    <w:rsid w:val="00C66548"/>
    <w:rsid w:val="00C711C9"/>
    <w:rsid w:val="00C7547B"/>
    <w:rsid w:val="00C77746"/>
    <w:rsid w:val="00C80C9D"/>
    <w:rsid w:val="00C86329"/>
    <w:rsid w:val="00C87BD7"/>
    <w:rsid w:val="00C91727"/>
    <w:rsid w:val="00C96A26"/>
    <w:rsid w:val="00C972A1"/>
    <w:rsid w:val="00C97E6A"/>
    <w:rsid w:val="00CA2E2E"/>
    <w:rsid w:val="00CB646A"/>
    <w:rsid w:val="00CC245B"/>
    <w:rsid w:val="00CC3147"/>
    <w:rsid w:val="00CC626A"/>
    <w:rsid w:val="00CC637C"/>
    <w:rsid w:val="00CD0500"/>
    <w:rsid w:val="00CD113E"/>
    <w:rsid w:val="00CD79FF"/>
    <w:rsid w:val="00CE6AA2"/>
    <w:rsid w:val="00CE7EE8"/>
    <w:rsid w:val="00CF11FA"/>
    <w:rsid w:val="00CF562D"/>
    <w:rsid w:val="00D01C01"/>
    <w:rsid w:val="00D1345C"/>
    <w:rsid w:val="00D13745"/>
    <w:rsid w:val="00D13DC2"/>
    <w:rsid w:val="00D145D3"/>
    <w:rsid w:val="00D15B13"/>
    <w:rsid w:val="00D273A0"/>
    <w:rsid w:val="00D278DC"/>
    <w:rsid w:val="00D305CB"/>
    <w:rsid w:val="00D30C04"/>
    <w:rsid w:val="00D312A4"/>
    <w:rsid w:val="00D32CAB"/>
    <w:rsid w:val="00D3472C"/>
    <w:rsid w:val="00D347F2"/>
    <w:rsid w:val="00D36655"/>
    <w:rsid w:val="00D4014C"/>
    <w:rsid w:val="00D42618"/>
    <w:rsid w:val="00D4400B"/>
    <w:rsid w:val="00D4449C"/>
    <w:rsid w:val="00D45602"/>
    <w:rsid w:val="00D503FE"/>
    <w:rsid w:val="00D52CFD"/>
    <w:rsid w:val="00D570F0"/>
    <w:rsid w:val="00D60995"/>
    <w:rsid w:val="00D64803"/>
    <w:rsid w:val="00D663BC"/>
    <w:rsid w:val="00D667EB"/>
    <w:rsid w:val="00D70F25"/>
    <w:rsid w:val="00D72EEF"/>
    <w:rsid w:val="00D7505F"/>
    <w:rsid w:val="00D76364"/>
    <w:rsid w:val="00D8046C"/>
    <w:rsid w:val="00D8106C"/>
    <w:rsid w:val="00D85095"/>
    <w:rsid w:val="00D867E4"/>
    <w:rsid w:val="00D86C1D"/>
    <w:rsid w:val="00D971AC"/>
    <w:rsid w:val="00DA0446"/>
    <w:rsid w:val="00DA0E8B"/>
    <w:rsid w:val="00DA1568"/>
    <w:rsid w:val="00DA429F"/>
    <w:rsid w:val="00DA54F4"/>
    <w:rsid w:val="00DB7B1C"/>
    <w:rsid w:val="00DC1AEF"/>
    <w:rsid w:val="00DC60C1"/>
    <w:rsid w:val="00DC67F2"/>
    <w:rsid w:val="00DC7730"/>
    <w:rsid w:val="00DD471D"/>
    <w:rsid w:val="00DD5275"/>
    <w:rsid w:val="00DD568E"/>
    <w:rsid w:val="00DD6C57"/>
    <w:rsid w:val="00DE06CF"/>
    <w:rsid w:val="00DE4FB3"/>
    <w:rsid w:val="00DE6A17"/>
    <w:rsid w:val="00DE718B"/>
    <w:rsid w:val="00DF05B9"/>
    <w:rsid w:val="00DF103B"/>
    <w:rsid w:val="00DF3152"/>
    <w:rsid w:val="00DF3BB5"/>
    <w:rsid w:val="00DF5C99"/>
    <w:rsid w:val="00E142B7"/>
    <w:rsid w:val="00E14A03"/>
    <w:rsid w:val="00E15ACF"/>
    <w:rsid w:val="00E22909"/>
    <w:rsid w:val="00E323D1"/>
    <w:rsid w:val="00E33EE5"/>
    <w:rsid w:val="00E35DD8"/>
    <w:rsid w:val="00E37B90"/>
    <w:rsid w:val="00E42224"/>
    <w:rsid w:val="00E50284"/>
    <w:rsid w:val="00E50EC1"/>
    <w:rsid w:val="00E50FE3"/>
    <w:rsid w:val="00E5120A"/>
    <w:rsid w:val="00E52FF5"/>
    <w:rsid w:val="00E5338D"/>
    <w:rsid w:val="00E54684"/>
    <w:rsid w:val="00E56710"/>
    <w:rsid w:val="00E60129"/>
    <w:rsid w:val="00E646CE"/>
    <w:rsid w:val="00E64A7D"/>
    <w:rsid w:val="00E65DE9"/>
    <w:rsid w:val="00E67E76"/>
    <w:rsid w:val="00E71784"/>
    <w:rsid w:val="00E71DD9"/>
    <w:rsid w:val="00E735F9"/>
    <w:rsid w:val="00E80874"/>
    <w:rsid w:val="00E822DB"/>
    <w:rsid w:val="00E91996"/>
    <w:rsid w:val="00E948ED"/>
    <w:rsid w:val="00EA176E"/>
    <w:rsid w:val="00EA3E55"/>
    <w:rsid w:val="00EA4316"/>
    <w:rsid w:val="00EA77CE"/>
    <w:rsid w:val="00EB2D99"/>
    <w:rsid w:val="00EB48BD"/>
    <w:rsid w:val="00EB7946"/>
    <w:rsid w:val="00EC008E"/>
    <w:rsid w:val="00EC14E1"/>
    <w:rsid w:val="00EC1502"/>
    <w:rsid w:val="00EC29A9"/>
    <w:rsid w:val="00EC407F"/>
    <w:rsid w:val="00EC57A7"/>
    <w:rsid w:val="00EC602B"/>
    <w:rsid w:val="00EC62BD"/>
    <w:rsid w:val="00ED0589"/>
    <w:rsid w:val="00ED08D7"/>
    <w:rsid w:val="00ED2865"/>
    <w:rsid w:val="00ED39D2"/>
    <w:rsid w:val="00ED39F0"/>
    <w:rsid w:val="00ED5C70"/>
    <w:rsid w:val="00EE1464"/>
    <w:rsid w:val="00EE15BD"/>
    <w:rsid w:val="00EE3FF9"/>
    <w:rsid w:val="00EE72C1"/>
    <w:rsid w:val="00EF0E43"/>
    <w:rsid w:val="00EF1043"/>
    <w:rsid w:val="00EF196F"/>
    <w:rsid w:val="00EF2447"/>
    <w:rsid w:val="00EF38BE"/>
    <w:rsid w:val="00EF4608"/>
    <w:rsid w:val="00EF6D51"/>
    <w:rsid w:val="00F0131D"/>
    <w:rsid w:val="00F02521"/>
    <w:rsid w:val="00F05DFD"/>
    <w:rsid w:val="00F10E1D"/>
    <w:rsid w:val="00F137CB"/>
    <w:rsid w:val="00F14853"/>
    <w:rsid w:val="00F17082"/>
    <w:rsid w:val="00F20EFC"/>
    <w:rsid w:val="00F215C1"/>
    <w:rsid w:val="00F21B16"/>
    <w:rsid w:val="00F24E3B"/>
    <w:rsid w:val="00F2549F"/>
    <w:rsid w:val="00F25AA9"/>
    <w:rsid w:val="00F25D75"/>
    <w:rsid w:val="00F26FD5"/>
    <w:rsid w:val="00F3275B"/>
    <w:rsid w:val="00F3444A"/>
    <w:rsid w:val="00F42D0A"/>
    <w:rsid w:val="00F43959"/>
    <w:rsid w:val="00F4453E"/>
    <w:rsid w:val="00F52515"/>
    <w:rsid w:val="00F52E27"/>
    <w:rsid w:val="00F53C92"/>
    <w:rsid w:val="00F57279"/>
    <w:rsid w:val="00F60362"/>
    <w:rsid w:val="00F62B0F"/>
    <w:rsid w:val="00F671BB"/>
    <w:rsid w:val="00F705A9"/>
    <w:rsid w:val="00F71AA2"/>
    <w:rsid w:val="00F72B6F"/>
    <w:rsid w:val="00F72E1E"/>
    <w:rsid w:val="00F7342A"/>
    <w:rsid w:val="00F73A6D"/>
    <w:rsid w:val="00F74970"/>
    <w:rsid w:val="00F804E9"/>
    <w:rsid w:val="00F80C54"/>
    <w:rsid w:val="00F832FB"/>
    <w:rsid w:val="00F83ADF"/>
    <w:rsid w:val="00F84B6C"/>
    <w:rsid w:val="00F8676A"/>
    <w:rsid w:val="00F87180"/>
    <w:rsid w:val="00F87E90"/>
    <w:rsid w:val="00F93266"/>
    <w:rsid w:val="00F95449"/>
    <w:rsid w:val="00F96563"/>
    <w:rsid w:val="00FA1C39"/>
    <w:rsid w:val="00FA2AD7"/>
    <w:rsid w:val="00FA34ED"/>
    <w:rsid w:val="00FA6E30"/>
    <w:rsid w:val="00FA743D"/>
    <w:rsid w:val="00FB0C82"/>
    <w:rsid w:val="00FB2D79"/>
    <w:rsid w:val="00FB3A19"/>
    <w:rsid w:val="00FC1E34"/>
    <w:rsid w:val="00FD03D0"/>
    <w:rsid w:val="00FD0850"/>
    <w:rsid w:val="00FD1E70"/>
    <w:rsid w:val="00FD1F38"/>
    <w:rsid w:val="00FD374E"/>
    <w:rsid w:val="00FD4D08"/>
    <w:rsid w:val="00FD5DF2"/>
    <w:rsid w:val="00FE0376"/>
    <w:rsid w:val="00FE0B11"/>
    <w:rsid w:val="00FE2BC7"/>
    <w:rsid w:val="00FE6CAD"/>
    <w:rsid w:val="00FF0A88"/>
    <w:rsid w:val="00FF2CE3"/>
    <w:rsid w:val="00FF52D9"/>
    <w:rsid w:val="00FF78FE"/>
    <w:rsid w:val="00FF7D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43584"/>
  <w15:docId w15:val="{19846EAC-F845-408D-B8C8-15891584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6E3D"/>
    <w:pPr>
      <w:tabs>
        <w:tab w:val="left" w:pos="567"/>
      </w:tabs>
      <w:spacing w:after="200" w:line="320" w:lineRule="atLeast"/>
    </w:pPr>
    <w:rPr>
      <w:rFonts w:ascii="Arial" w:hAnsi="Arial"/>
      <w:lang w:eastAsia="en-AU"/>
    </w:rPr>
  </w:style>
  <w:style w:type="paragraph" w:styleId="Heading1">
    <w:name w:val="heading 1"/>
    <w:basedOn w:val="Normal"/>
    <w:next w:val="Heading2"/>
    <w:rsid w:val="00117614"/>
    <w:pPr>
      <w:outlineLvl w:val="0"/>
    </w:pPr>
    <w:rPr>
      <w:lang w:eastAsia="en-US"/>
    </w:rPr>
  </w:style>
  <w:style w:type="paragraph" w:styleId="Heading2">
    <w:name w:val="heading 2"/>
    <w:aliases w:val="H1,Sub-clause,Subsidiary clause,h2,(Alt+2),(Alt+2)1,(Alt+2)2,Subhead A,H21,H22,H23,H211,H221,h2 main heading"/>
    <w:basedOn w:val="Normal"/>
    <w:link w:val="Heading2Char"/>
    <w:qFormat/>
    <w:rsid w:val="00536C21"/>
    <w:pPr>
      <w:numPr>
        <w:ilvl w:val="1"/>
        <w:numId w:val="1"/>
      </w:numPr>
      <w:spacing w:after="240"/>
      <w:outlineLvl w:val="1"/>
    </w:pPr>
    <w:rPr>
      <w:rFonts w:ascii="Times New Roman" w:hAnsi="Times New Roman"/>
      <w:lang w:val="en-GB" w:eastAsia="en-US"/>
    </w:rPr>
  </w:style>
  <w:style w:type="paragraph" w:styleId="Heading3">
    <w:name w:val="heading 3"/>
    <w:aliases w:val="H2"/>
    <w:basedOn w:val="Normal"/>
    <w:qFormat/>
    <w:rsid w:val="00536C21"/>
    <w:pPr>
      <w:numPr>
        <w:ilvl w:val="2"/>
        <w:numId w:val="1"/>
      </w:numPr>
      <w:spacing w:after="240"/>
      <w:outlineLvl w:val="2"/>
    </w:pPr>
    <w:rPr>
      <w:rFonts w:ascii="Times New Roman" w:hAnsi="Times New Roman"/>
      <w:lang w:val="en-GB" w:eastAsia="en-US"/>
    </w:rPr>
  </w:style>
  <w:style w:type="paragraph" w:styleId="Heading4">
    <w:name w:val="heading 4"/>
    <w:aliases w:val="H3,Level 2 - a"/>
    <w:basedOn w:val="Normal"/>
    <w:qFormat/>
    <w:rsid w:val="00536C21"/>
    <w:pPr>
      <w:numPr>
        <w:ilvl w:val="3"/>
        <w:numId w:val="1"/>
      </w:numPr>
      <w:spacing w:after="240"/>
      <w:outlineLvl w:val="3"/>
    </w:pPr>
    <w:rPr>
      <w:rFonts w:ascii="Times New Roman" w:hAnsi="Times New Roman"/>
      <w:lang w:val="en-GB" w:eastAsia="en-US"/>
    </w:rPr>
  </w:style>
  <w:style w:type="paragraph" w:styleId="Heading5">
    <w:name w:val="heading 5"/>
    <w:aliases w:val="H4"/>
    <w:basedOn w:val="Normal"/>
    <w:qFormat/>
    <w:rsid w:val="00536C21"/>
    <w:pPr>
      <w:numPr>
        <w:ilvl w:val="4"/>
        <w:numId w:val="1"/>
      </w:numPr>
      <w:spacing w:after="240"/>
      <w:outlineLvl w:val="4"/>
    </w:pPr>
    <w:rPr>
      <w:rFonts w:ascii="Times New Roman" w:hAnsi="Times New Roman"/>
      <w:lang w:val="en-GB" w:eastAsia="en-US"/>
    </w:rPr>
  </w:style>
  <w:style w:type="paragraph" w:styleId="Heading6">
    <w:name w:val="heading 6"/>
    <w:aliases w:val="H5"/>
    <w:basedOn w:val="Normal"/>
    <w:qFormat/>
    <w:rsid w:val="00536C21"/>
    <w:pPr>
      <w:numPr>
        <w:ilvl w:val="5"/>
        <w:numId w:val="1"/>
      </w:numPr>
      <w:spacing w:after="240"/>
      <w:outlineLvl w:val="5"/>
    </w:pPr>
    <w:rPr>
      <w:rFonts w:ascii="Times New Roman" w:hAnsi="Times New Roman"/>
      <w:lang w:val="en-GB" w:eastAsia="en-US"/>
    </w:rPr>
  </w:style>
  <w:style w:type="paragraph" w:styleId="Heading7">
    <w:name w:val="heading 7"/>
    <w:aliases w:val="H6"/>
    <w:basedOn w:val="Normal"/>
    <w:next w:val="Normal"/>
    <w:qFormat/>
    <w:rsid w:val="00536C21"/>
    <w:pPr>
      <w:numPr>
        <w:ilvl w:val="6"/>
        <w:numId w:val="1"/>
      </w:numPr>
      <w:spacing w:before="240" w:after="60"/>
      <w:outlineLvl w:val="6"/>
    </w:pPr>
    <w:rPr>
      <w:lang w:val="en-GB" w:eastAsia="en-US"/>
    </w:rPr>
  </w:style>
  <w:style w:type="paragraph" w:styleId="Heading8">
    <w:name w:val="heading 8"/>
    <w:basedOn w:val="Normal"/>
    <w:next w:val="Normal"/>
    <w:qFormat/>
    <w:rsid w:val="00536C21"/>
    <w:pPr>
      <w:numPr>
        <w:ilvl w:val="7"/>
        <w:numId w:val="1"/>
      </w:numPr>
      <w:spacing w:before="240" w:after="60"/>
      <w:outlineLvl w:val="7"/>
    </w:pPr>
    <w:rPr>
      <w:i/>
      <w:lang w:val="en-GB" w:eastAsia="en-US"/>
    </w:rPr>
  </w:style>
  <w:style w:type="paragraph" w:styleId="Heading9">
    <w:name w:val="heading 9"/>
    <w:basedOn w:val="Normal"/>
    <w:next w:val="Normal"/>
    <w:qFormat/>
    <w:rsid w:val="00536C21"/>
    <w:pPr>
      <w:numPr>
        <w:ilvl w:val="8"/>
        <w:numId w:val="1"/>
      </w:numPr>
      <w:spacing w:before="240" w:after="60"/>
      <w:outlineLvl w:val="8"/>
    </w:pPr>
    <w:rPr>
      <w:b/>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117614"/>
    <w:pPr>
      <w:keepNext/>
      <w:numPr>
        <w:numId w:val="4"/>
      </w:numPr>
      <w:tabs>
        <w:tab w:val="clear" w:pos="567"/>
      </w:tabs>
      <w:spacing w:before="120"/>
    </w:pPr>
    <w:rPr>
      <w:rFonts w:ascii="Arial Black" w:hAnsi="Arial Black" w:cs="Arial"/>
      <w:b/>
      <w:color w:val="C00000"/>
      <w:lang w:eastAsia="en-US"/>
    </w:rPr>
  </w:style>
  <w:style w:type="paragraph" w:customStyle="1" w:styleId="OutlinenumberedLevel2">
    <w:name w:val="Outline numbered Level 2"/>
    <w:basedOn w:val="Normal"/>
    <w:qFormat/>
    <w:rsid w:val="00BA081A"/>
    <w:pPr>
      <w:numPr>
        <w:ilvl w:val="1"/>
        <w:numId w:val="4"/>
      </w:numPr>
      <w:tabs>
        <w:tab w:val="clear" w:pos="567"/>
      </w:tabs>
      <w:spacing w:before="120"/>
    </w:pPr>
    <w:rPr>
      <w:rFonts w:cs="Arial"/>
      <w:lang w:eastAsia="en-US"/>
    </w:rPr>
  </w:style>
  <w:style w:type="paragraph" w:customStyle="1" w:styleId="OutlinenumberedLevel3">
    <w:name w:val="Outline numbered Level 3"/>
    <w:basedOn w:val="Normal"/>
    <w:qFormat/>
    <w:rsid w:val="00117614"/>
    <w:pPr>
      <w:numPr>
        <w:ilvl w:val="2"/>
        <w:numId w:val="4"/>
      </w:numPr>
      <w:tabs>
        <w:tab w:val="clear" w:pos="567"/>
      </w:tabs>
      <w:spacing w:before="120"/>
    </w:pPr>
    <w:rPr>
      <w:rFonts w:cs="Arial"/>
      <w:lang w:eastAsia="en-US"/>
    </w:rPr>
  </w:style>
  <w:style w:type="paragraph" w:customStyle="1" w:styleId="OutlinenumberedLevel4">
    <w:name w:val="Outline numbered Level 4"/>
    <w:basedOn w:val="Normal"/>
    <w:qFormat/>
    <w:rsid w:val="00BA081A"/>
    <w:pPr>
      <w:numPr>
        <w:ilvl w:val="3"/>
        <w:numId w:val="4"/>
      </w:numPr>
      <w:tabs>
        <w:tab w:val="clear" w:pos="567"/>
      </w:tabs>
      <w:spacing w:before="120"/>
    </w:pPr>
    <w:rPr>
      <w:rFonts w:cs="Arial"/>
      <w:lang w:eastAsia="en-US"/>
    </w:rPr>
  </w:style>
  <w:style w:type="paragraph" w:customStyle="1" w:styleId="OutlinenumberedLevel5">
    <w:name w:val="Outline numbered Level 5"/>
    <w:basedOn w:val="OutlinenumberedLevel4"/>
    <w:qFormat/>
    <w:rsid w:val="00BA081A"/>
    <w:pPr>
      <w:numPr>
        <w:ilvl w:val="4"/>
      </w:numPr>
    </w:pPr>
  </w:style>
  <w:style w:type="character" w:styleId="PageNumber">
    <w:name w:val="page number"/>
    <w:rsid w:val="001F0A4F"/>
    <w:rPr>
      <w:rFonts w:ascii="Arial" w:hAnsi="Arial"/>
      <w:b w:val="0"/>
      <w:i w:val="0"/>
      <w:sz w:val="18"/>
    </w:rPr>
  </w:style>
  <w:style w:type="paragraph" w:styleId="Header">
    <w:name w:val="header"/>
    <w:basedOn w:val="Normal"/>
    <w:link w:val="HeaderChar"/>
    <w:rsid w:val="00117614"/>
    <w:pPr>
      <w:tabs>
        <w:tab w:val="clear" w:pos="567"/>
        <w:tab w:val="center" w:pos="4513"/>
        <w:tab w:val="right" w:pos="9026"/>
      </w:tabs>
    </w:pPr>
  </w:style>
  <w:style w:type="character" w:customStyle="1" w:styleId="HeaderChar">
    <w:name w:val="Header Char"/>
    <w:link w:val="Header"/>
    <w:rsid w:val="00117614"/>
    <w:rPr>
      <w:rFonts w:ascii="Arial" w:hAnsi="Arial"/>
      <w:lang w:eastAsia="en-AU"/>
    </w:rPr>
  </w:style>
  <w:style w:type="paragraph" w:styleId="Footer">
    <w:name w:val="footer"/>
    <w:basedOn w:val="Normal"/>
    <w:link w:val="FooterChar"/>
    <w:uiPriority w:val="99"/>
    <w:rsid w:val="00117614"/>
    <w:pPr>
      <w:tabs>
        <w:tab w:val="clear" w:pos="567"/>
        <w:tab w:val="center" w:pos="4513"/>
        <w:tab w:val="right" w:pos="9026"/>
      </w:tabs>
    </w:pPr>
  </w:style>
  <w:style w:type="character" w:customStyle="1" w:styleId="FooterChar">
    <w:name w:val="Footer Char"/>
    <w:link w:val="Footer"/>
    <w:uiPriority w:val="99"/>
    <w:rsid w:val="00117614"/>
    <w:rPr>
      <w:rFonts w:ascii="Arial" w:hAnsi="Arial"/>
      <w:lang w:eastAsia="en-AU"/>
    </w:rPr>
  </w:style>
  <w:style w:type="paragraph" w:styleId="BalloonText">
    <w:name w:val="Balloon Text"/>
    <w:basedOn w:val="Normal"/>
    <w:link w:val="BalloonTextChar"/>
    <w:rsid w:val="00697248"/>
    <w:pPr>
      <w:spacing w:after="0" w:line="240" w:lineRule="auto"/>
    </w:pPr>
    <w:rPr>
      <w:rFonts w:ascii="Tahoma" w:hAnsi="Tahoma" w:cs="Tahoma"/>
      <w:sz w:val="16"/>
      <w:szCs w:val="16"/>
    </w:rPr>
  </w:style>
  <w:style w:type="character" w:customStyle="1" w:styleId="BalloonTextChar">
    <w:name w:val="Balloon Text Char"/>
    <w:link w:val="BalloonText"/>
    <w:rsid w:val="00697248"/>
    <w:rPr>
      <w:rFonts w:ascii="Tahoma" w:hAnsi="Tahoma" w:cs="Tahoma"/>
      <w:sz w:val="16"/>
      <w:szCs w:val="16"/>
      <w:lang w:eastAsia="en-AU"/>
    </w:rPr>
  </w:style>
  <w:style w:type="paragraph" w:customStyle="1" w:styleId="Counterparts">
    <w:name w:val="Counterparts"/>
    <w:rsid w:val="00F3275B"/>
    <w:pPr>
      <w:numPr>
        <w:ilvl w:val="1"/>
        <w:numId w:val="2"/>
      </w:numPr>
      <w:spacing w:before="120" w:after="200" w:line="320" w:lineRule="atLeast"/>
    </w:pPr>
    <w:rPr>
      <w:rFonts w:ascii="Arial" w:hAnsi="Arial" w:cs="Arial"/>
      <w:noProof/>
      <w:lang w:eastAsia="en-US"/>
    </w:rPr>
  </w:style>
  <w:style w:type="character" w:customStyle="1" w:styleId="Heading2Char">
    <w:name w:val="Heading 2 Char"/>
    <w:aliases w:val="H1 Char,Sub-clause Char,Subsidiary clause Char,h2 Char,(Alt+2) Char,(Alt+2)1 Char,(Alt+2)2 Char,Subhead A Char,H21 Char,H22 Char,H23 Char,H211 Char,H221 Char,h2 main heading Char"/>
    <w:link w:val="Heading2"/>
    <w:rsid w:val="008F6F68"/>
    <w:rPr>
      <w:lang w:val="en-GB" w:eastAsia="en-US"/>
    </w:rPr>
  </w:style>
  <w:style w:type="paragraph" w:styleId="ListParagraph">
    <w:name w:val="List Paragraph"/>
    <w:basedOn w:val="Normal"/>
    <w:uiPriority w:val="34"/>
    <w:qFormat/>
    <w:rsid w:val="00027D3E"/>
    <w:pPr>
      <w:ind w:left="720"/>
      <w:contextualSpacing/>
    </w:pPr>
  </w:style>
  <w:style w:type="paragraph" w:customStyle="1" w:styleId="SJBLevel1">
    <w:name w:val="SJB Level 1"/>
    <w:basedOn w:val="Normal"/>
    <w:rsid w:val="008C59F5"/>
    <w:pPr>
      <w:numPr>
        <w:numId w:val="20"/>
      </w:numPr>
      <w:tabs>
        <w:tab w:val="clear" w:pos="567"/>
      </w:tabs>
      <w:spacing w:before="142" w:after="0" w:line="240" w:lineRule="atLeast"/>
      <w:jc w:val="both"/>
      <w:outlineLvl w:val="0"/>
    </w:pPr>
    <w:rPr>
      <w:color w:val="000000"/>
      <w:sz w:val="21"/>
      <w:lang w:val="en-GB" w:eastAsia="en-US"/>
    </w:rPr>
  </w:style>
  <w:style w:type="paragraph" w:customStyle="1" w:styleId="SJBLevel2">
    <w:name w:val="SJB Level 2"/>
    <w:basedOn w:val="Normal"/>
    <w:rsid w:val="008C59F5"/>
    <w:pPr>
      <w:numPr>
        <w:ilvl w:val="1"/>
        <w:numId w:val="20"/>
      </w:numPr>
      <w:tabs>
        <w:tab w:val="clear" w:pos="567"/>
      </w:tabs>
      <w:spacing w:before="142" w:after="0" w:line="240" w:lineRule="atLeast"/>
      <w:jc w:val="both"/>
      <w:outlineLvl w:val="1"/>
    </w:pPr>
    <w:rPr>
      <w:color w:val="000000"/>
      <w:sz w:val="21"/>
      <w:lang w:val="en-GB" w:eastAsia="en-US"/>
    </w:rPr>
  </w:style>
  <w:style w:type="paragraph" w:customStyle="1" w:styleId="SJBLevel3">
    <w:name w:val="SJB Level 3"/>
    <w:basedOn w:val="Normal"/>
    <w:rsid w:val="008C59F5"/>
    <w:pPr>
      <w:numPr>
        <w:ilvl w:val="2"/>
        <w:numId w:val="20"/>
      </w:numPr>
      <w:tabs>
        <w:tab w:val="clear" w:pos="567"/>
      </w:tabs>
      <w:spacing w:before="142" w:after="0" w:line="240" w:lineRule="atLeast"/>
      <w:jc w:val="both"/>
      <w:outlineLvl w:val="2"/>
    </w:pPr>
    <w:rPr>
      <w:color w:val="000000"/>
      <w:sz w:val="21"/>
      <w:lang w:val="en-GB" w:eastAsia="en-US"/>
    </w:rPr>
  </w:style>
  <w:style w:type="paragraph" w:customStyle="1" w:styleId="SJBLevel4">
    <w:name w:val="SJB Level 4"/>
    <w:basedOn w:val="Normal"/>
    <w:rsid w:val="008C59F5"/>
    <w:pPr>
      <w:numPr>
        <w:ilvl w:val="3"/>
        <w:numId w:val="20"/>
      </w:numPr>
      <w:tabs>
        <w:tab w:val="clear" w:pos="567"/>
      </w:tabs>
      <w:spacing w:before="142" w:after="0" w:line="240" w:lineRule="atLeast"/>
      <w:jc w:val="both"/>
      <w:outlineLvl w:val="3"/>
    </w:pPr>
    <w:rPr>
      <w:color w:val="000000"/>
      <w:sz w:val="21"/>
      <w:lang w:val="en-GB" w:eastAsia="en-US"/>
    </w:rPr>
  </w:style>
  <w:style w:type="paragraph" w:customStyle="1" w:styleId="SJBLevel5">
    <w:name w:val="SJB Level 5"/>
    <w:basedOn w:val="Normal"/>
    <w:rsid w:val="008C59F5"/>
    <w:pPr>
      <w:numPr>
        <w:ilvl w:val="4"/>
        <w:numId w:val="20"/>
      </w:numPr>
      <w:tabs>
        <w:tab w:val="clear" w:pos="567"/>
      </w:tabs>
      <w:spacing w:before="142" w:after="0" w:line="240" w:lineRule="atLeast"/>
      <w:jc w:val="both"/>
      <w:outlineLvl w:val="4"/>
    </w:pPr>
    <w:rPr>
      <w:color w:val="000000"/>
      <w:sz w:val="21"/>
      <w:lang w:val="en-GB" w:eastAsia="en-US"/>
    </w:rPr>
  </w:style>
  <w:style w:type="paragraph" w:customStyle="1" w:styleId="SJBLevel6">
    <w:name w:val="SJB Level 6"/>
    <w:basedOn w:val="Normal"/>
    <w:rsid w:val="008C59F5"/>
    <w:pPr>
      <w:numPr>
        <w:ilvl w:val="5"/>
        <w:numId w:val="20"/>
      </w:numPr>
      <w:tabs>
        <w:tab w:val="clear" w:pos="567"/>
      </w:tabs>
      <w:spacing w:before="142" w:after="0" w:line="240" w:lineRule="atLeast"/>
      <w:jc w:val="both"/>
      <w:outlineLvl w:val="5"/>
    </w:pPr>
    <w:rPr>
      <w:color w:val="000000"/>
      <w:sz w:val="21"/>
      <w:lang w:val="en-GB" w:eastAsia="en-US"/>
    </w:rPr>
  </w:style>
  <w:style w:type="character" w:styleId="CommentReference">
    <w:name w:val="annotation reference"/>
    <w:basedOn w:val="DefaultParagraphFont"/>
    <w:semiHidden/>
    <w:unhideWhenUsed/>
    <w:rsid w:val="00181F6B"/>
    <w:rPr>
      <w:sz w:val="16"/>
      <w:szCs w:val="16"/>
    </w:rPr>
  </w:style>
  <w:style w:type="paragraph" w:styleId="CommentText">
    <w:name w:val="annotation text"/>
    <w:basedOn w:val="Normal"/>
    <w:link w:val="CommentTextChar"/>
    <w:semiHidden/>
    <w:unhideWhenUsed/>
    <w:rsid w:val="00181F6B"/>
    <w:pPr>
      <w:spacing w:line="240" w:lineRule="auto"/>
    </w:pPr>
  </w:style>
  <w:style w:type="character" w:customStyle="1" w:styleId="CommentTextChar">
    <w:name w:val="Comment Text Char"/>
    <w:basedOn w:val="DefaultParagraphFont"/>
    <w:link w:val="CommentText"/>
    <w:semiHidden/>
    <w:rsid w:val="00181F6B"/>
    <w:rPr>
      <w:rFonts w:ascii="Arial" w:hAnsi="Arial"/>
      <w:lang w:eastAsia="en-AU"/>
    </w:rPr>
  </w:style>
  <w:style w:type="paragraph" w:styleId="CommentSubject">
    <w:name w:val="annotation subject"/>
    <w:basedOn w:val="CommentText"/>
    <w:next w:val="CommentText"/>
    <w:link w:val="CommentSubjectChar"/>
    <w:semiHidden/>
    <w:unhideWhenUsed/>
    <w:rsid w:val="00181F6B"/>
    <w:rPr>
      <w:b/>
      <w:bCs/>
    </w:rPr>
  </w:style>
  <w:style w:type="character" w:customStyle="1" w:styleId="CommentSubjectChar">
    <w:name w:val="Comment Subject Char"/>
    <w:basedOn w:val="CommentTextChar"/>
    <w:link w:val="CommentSubject"/>
    <w:semiHidden/>
    <w:rsid w:val="00181F6B"/>
    <w:rPr>
      <w:rFonts w:ascii="Arial" w:hAnsi="Arial"/>
      <w:b/>
      <w:bCs/>
      <w:lang w:eastAsia="en-AU"/>
    </w:rPr>
  </w:style>
  <w:style w:type="paragraph" w:styleId="Revision">
    <w:name w:val="Revision"/>
    <w:hidden/>
    <w:uiPriority w:val="99"/>
    <w:semiHidden/>
    <w:rsid w:val="008A2AF3"/>
    <w:rPr>
      <w:rFonts w:ascii="Arial" w:hAnsi="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3372">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1115364219">
      <w:bodyDiv w:val="1"/>
      <w:marLeft w:val="0"/>
      <w:marRight w:val="0"/>
      <w:marTop w:val="0"/>
      <w:marBottom w:val="0"/>
      <w:divBdr>
        <w:top w:val="none" w:sz="0" w:space="0" w:color="auto"/>
        <w:left w:val="none" w:sz="0" w:space="0" w:color="auto"/>
        <w:bottom w:val="none" w:sz="0" w:space="0" w:color="auto"/>
        <w:right w:val="none" w:sz="0" w:space="0" w:color="auto"/>
      </w:divBdr>
    </w:div>
    <w:div w:id="12397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0315B-61E0-4B4A-815E-CAFFED74A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2CDE0-4A50-4C4E-B1CD-F09300DA89E0}">
  <ds:schemaRefs>
    <ds:schemaRef ds:uri="http://schemas.microsoft.com/sharepoint/v3/contenttype/forms"/>
  </ds:schemaRefs>
</ds:datastoreItem>
</file>

<file path=customXml/itemProps3.xml><?xml version="1.0" encoding="utf-8"?>
<ds:datastoreItem xmlns:ds="http://schemas.openxmlformats.org/officeDocument/2006/customXml" ds:itemID="{B1F2F6CA-B7C3-4A49-B9C8-B3499C429D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6F65F7-76E2-4F68-93E3-F6798535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6700</Words>
  <Characters>38191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SE Asia shareholders agreement growth company</vt:lpstr>
    </vt:vector>
  </TitlesOfParts>
  <Company>Kindrik Partners</Company>
  <LinksUpToDate>false</LinksUpToDate>
  <CharactersWithSpaces>44802</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shareholders agreement growth company</dc:title>
  <dc:subject>Simple shareholders agreement for growth company in SE Asia</dc:subject>
  <dc:creator>Kindrik Partners</dc:creator>
  <cp:keywords>southeast Asia; SE Asia; startup, start-up; company; free template; legal template; template download; legal document; shareholders; seed; series seed; company</cp:keywords>
  <dc:description>This is a simple shareholders’ agreement intended to be implemented by growth companies at the time they close a seed investment round in Southeast Asia.  This agreement is not intended for use by services companies where shareholders work in the business the focus is on returning regular income to those shareholder based on their contribution to the business - i.e. companies where the shareholders work in the business like partners in a professional services firm.  Special provisions usually need to be included in those shareholder agreements e.g. regarding remuneration, sharing of profits, and linking shareholding to active involvement in the business.  These provisions are not included in this document.</dc:description>
  <cp:lastModifiedBy>KP</cp:lastModifiedBy>
  <cp:revision>3</cp:revision>
  <cp:lastPrinted>2020-07-22T07:56:00Z</cp:lastPrinted>
  <dcterms:created xsi:type="dcterms:W3CDTF">2020-07-22T07:55:00Z</dcterms:created>
  <dcterms:modified xsi:type="dcterms:W3CDTF">2020-07-22T08:10:00Z</dcterms:modified>
  <cp:category>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